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2B0" w:rsidRPr="00DF7CE4" w:rsidRDefault="00D052B0" w:rsidP="00DF7CE4">
      <w:pPr>
        <w:spacing w:after="120" w:line="240" w:lineRule="auto"/>
        <w:jc w:val="center"/>
        <w:rPr>
          <w:rFonts w:ascii="Cambria" w:eastAsia="Times New Roman" w:hAnsi="Cambria" w:cs="Arial"/>
          <w:b/>
          <w:caps/>
          <w:sz w:val="24"/>
          <w:szCs w:val="24"/>
          <w:lang w:eastAsia="fr-FR"/>
        </w:rPr>
      </w:pPr>
      <w:r w:rsidRPr="00DF7CE4">
        <w:rPr>
          <w:rFonts w:ascii="Cambria" w:eastAsia="Times New Roman" w:hAnsi="Cambria" w:cs="Arial"/>
          <w:b/>
          <w:bCs/>
          <w:caps/>
          <w:sz w:val="24"/>
          <w:szCs w:val="24"/>
          <w:lang w:val="bg-BG" w:eastAsia="fr-FR"/>
        </w:rPr>
        <w:t>Гражданите на трети страни в европейския съюз</w:t>
      </w:r>
    </w:p>
    <w:p w:rsidR="00D052B0" w:rsidRPr="00DF7CE4" w:rsidRDefault="00D052B0" w:rsidP="00DF7CE4">
      <w:pPr>
        <w:spacing w:after="120" w:line="240" w:lineRule="auto"/>
        <w:jc w:val="center"/>
        <w:rPr>
          <w:rFonts w:ascii="Cambria" w:eastAsia="Times New Roman" w:hAnsi="Cambria" w:cs="Arial"/>
          <w:b/>
          <w:bCs/>
          <w:i/>
          <w:iCs/>
          <w:caps/>
          <w:sz w:val="24"/>
          <w:szCs w:val="24"/>
          <w:lang w:val="bg-BG" w:eastAsia="fr-FR"/>
        </w:rPr>
      </w:pPr>
      <w:r w:rsidRPr="00DF7CE4">
        <w:rPr>
          <w:rFonts w:ascii="Cambria" w:eastAsia="Times New Roman" w:hAnsi="Cambria" w:cs="Arial"/>
          <w:b/>
          <w:bCs/>
          <w:i/>
          <w:iCs/>
          <w:caps/>
          <w:sz w:val="24"/>
          <w:szCs w:val="24"/>
          <w:lang w:val="bg-BG" w:eastAsia="fr-FR"/>
        </w:rPr>
        <w:t xml:space="preserve">Обща политика относно контрола по границите, </w:t>
      </w:r>
    </w:p>
    <w:p w:rsidR="00D052B0" w:rsidRPr="00DF7CE4" w:rsidRDefault="00D052B0" w:rsidP="00DF7CE4">
      <w:pPr>
        <w:spacing w:after="120" w:line="240" w:lineRule="auto"/>
        <w:jc w:val="center"/>
        <w:rPr>
          <w:rFonts w:ascii="Cambria" w:eastAsia="Times New Roman" w:hAnsi="Cambria" w:cs="Arial"/>
          <w:b/>
          <w:caps/>
          <w:sz w:val="24"/>
          <w:szCs w:val="24"/>
          <w:lang w:val="bg-BG" w:eastAsia="fr-FR"/>
        </w:rPr>
      </w:pPr>
      <w:r w:rsidRPr="00DF7CE4">
        <w:rPr>
          <w:rFonts w:ascii="Cambria" w:eastAsia="Times New Roman" w:hAnsi="Cambria" w:cs="Arial"/>
          <w:b/>
          <w:bCs/>
          <w:i/>
          <w:iCs/>
          <w:caps/>
          <w:sz w:val="24"/>
          <w:szCs w:val="24"/>
          <w:lang w:val="bg-BG" w:eastAsia="fr-FR"/>
        </w:rPr>
        <w:t xml:space="preserve">убежището и имиграцията </w:t>
      </w:r>
    </w:p>
    <w:p w:rsidR="00D052B0" w:rsidRPr="00DF7CE4" w:rsidRDefault="00D052B0" w:rsidP="00DF7CE4">
      <w:pPr>
        <w:spacing w:after="120" w:line="240" w:lineRule="auto"/>
        <w:jc w:val="center"/>
        <w:rPr>
          <w:rFonts w:ascii="Cambria" w:eastAsia="Times New Roman" w:hAnsi="Cambria" w:cs="Arial"/>
          <w:b/>
          <w:caps/>
          <w:sz w:val="24"/>
          <w:szCs w:val="24"/>
          <w:lang w:val="bg-BG" w:eastAsia="fr-FR"/>
        </w:rPr>
      </w:pPr>
      <w:r w:rsidRPr="00DF7CE4">
        <w:rPr>
          <w:rFonts w:ascii="Cambria" w:eastAsia="Times New Roman" w:hAnsi="Cambria" w:cs="Arial"/>
          <w:b/>
          <w:bCs/>
          <w:i/>
          <w:iCs/>
          <w:caps/>
          <w:sz w:val="24"/>
          <w:szCs w:val="24"/>
          <w:lang w:val="bg-BG" w:eastAsia="fr-FR"/>
        </w:rPr>
        <w:t>(Чл. 77 – 80 ДФЕС)</w:t>
      </w:r>
    </w:p>
    <w:p w:rsidR="00013156" w:rsidRPr="00DF7CE4" w:rsidRDefault="00013156" w:rsidP="00DF7CE4">
      <w:pPr>
        <w:spacing w:after="120" w:line="240" w:lineRule="auto"/>
        <w:rPr>
          <w:rFonts w:ascii="Cambria" w:eastAsia="Times New Roman" w:hAnsi="Cambria" w:cs="Arial"/>
          <w:b/>
          <w:sz w:val="24"/>
          <w:szCs w:val="24"/>
          <w:lang w:val="bg-BG" w:eastAsia="fr-FR"/>
        </w:rPr>
      </w:pPr>
    </w:p>
    <w:p w:rsidR="008743AF" w:rsidRPr="00DF7CE4" w:rsidRDefault="008743AF" w:rsidP="00DF7CE4">
      <w:pPr>
        <w:pStyle w:val="Heading2"/>
        <w:shd w:val="clear" w:color="auto" w:fill="FFFFFF"/>
        <w:spacing w:before="0" w:after="120" w:line="240" w:lineRule="auto"/>
        <w:jc w:val="both"/>
        <w:textAlignment w:val="baseline"/>
        <w:rPr>
          <w:rFonts w:ascii="Cambria" w:hAnsi="Cambria" w:cs="Arial"/>
          <w:color w:val="auto"/>
          <w:sz w:val="24"/>
          <w:szCs w:val="24"/>
        </w:rPr>
      </w:pPr>
      <w:proofErr w:type="spellStart"/>
      <w:r w:rsidRPr="00DF7CE4">
        <w:rPr>
          <w:rFonts w:ascii="Cambria" w:hAnsi="Cambria" w:cs="Arial"/>
          <w:color w:val="auto"/>
          <w:sz w:val="24"/>
          <w:szCs w:val="24"/>
        </w:rPr>
        <w:t>Пространство</w:t>
      </w:r>
      <w:proofErr w:type="spellEnd"/>
      <w:r w:rsidRPr="00DF7CE4">
        <w:rPr>
          <w:rFonts w:ascii="Cambria" w:hAnsi="Cambria" w:cs="Arial"/>
          <w:color w:val="auto"/>
          <w:sz w:val="24"/>
          <w:szCs w:val="24"/>
        </w:rPr>
        <w:t xml:space="preserve"> </w:t>
      </w:r>
      <w:proofErr w:type="spellStart"/>
      <w:r w:rsidRPr="00DF7CE4">
        <w:rPr>
          <w:rFonts w:ascii="Cambria" w:hAnsi="Cambria" w:cs="Arial"/>
          <w:color w:val="auto"/>
          <w:sz w:val="24"/>
          <w:szCs w:val="24"/>
        </w:rPr>
        <w:t>на</w:t>
      </w:r>
      <w:proofErr w:type="spellEnd"/>
      <w:r w:rsidRPr="00DF7CE4">
        <w:rPr>
          <w:rFonts w:ascii="Cambria" w:hAnsi="Cambria" w:cs="Arial"/>
          <w:color w:val="auto"/>
          <w:sz w:val="24"/>
          <w:szCs w:val="24"/>
        </w:rPr>
        <w:t xml:space="preserve"> </w:t>
      </w:r>
      <w:proofErr w:type="spellStart"/>
      <w:r w:rsidRPr="00DF7CE4">
        <w:rPr>
          <w:rFonts w:ascii="Cambria" w:hAnsi="Cambria" w:cs="Arial"/>
          <w:color w:val="auto"/>
          <w:sz w:val="24"/>
          <w:szCs w:val="24"/>
        </w:rPr>
        <w:t>свобода</w:t>
      </w:r>
      <w:proofErr w:type="spellEnd"/>
      <w:r w:rsidRPr="00DF7CE4">
        <w:rPr>
          <w:rFonts w:ascii="Cambria" w:hAnsi="Cambria" w:cs="Arial"/>
          <w:color w:val="auto"/>
          <w:sz w:val="24"/>
          <w:szCs w:val="24"/>
        </w:rPr>
        <w:t xml:space="preserve">, </w:t>
      </w:r>
      <w:proofErr w:type="spellStart"/>
      <w:r w:rsidRPr="00DF7CE4">
        <w:rPr>
          <w:rFonts w:ascii="Cambria" w:hAnsi="Cambria" w:cs="Arial"/>
          <w:color w:val="auto"/>
          <w:sz w:val="24"/>
          <w:szCs w:val="24"/>
        </w:rPr>
        <w:t>сигурност</w:t>
      </w:r>
      <w:proofErr w:type="spellEnd"/>
      <w:r w:rsidRPr="00DF7CE4">
        <w:rPr>
          <w:rFonts w:ascii="Cambria" w:hAnsi="Cambria" w:cs="Arial"/>
          <w:color w:val="auto"/>
          <w:sz w:val="24"/>
          <w:szCs w:val="24"/>
        </w:rPr>
        <w:t xml:space="preserve"> и правосъдие: общи аспекти</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Договорът от Лисабон отдава по-голям приоритет на създаването на пространство на свобода, сигурност и правосъдие. Той въвежда няколко важни нови елемента: по-ефикасна и демократична процедура за вземане на решения, която е в отговор на премахването на старата структура по стълбове и осигурява повече отчетност и легитимност, по-големи правомощия на Съда на Европейския съюз и нова роля за националните парламенти. Основните права се утвърждават с Хартата на основните права, която стана правно задължителна за ЕС, и със задължението на ЕС да се присъедини към Европейската конвенция за защита на правата на човека.</w:t>
      </w:r>
    </w:p>
    <w:p w:rsidR="00DF7CE4" w:rsidRPr="00DF7CE4" w:rsidRDefault="00DF7CE4" w:rsidP="00DF7CE4">
      <w:pPr>
        <w:pStyle w:val="Heading3"/>
        <w:shd w:val="clear" w:color="auto" w:fill="FFFFFF"/>
        <w:spacing w:before="0" w:after="120" w:line="240" w:lineRule="auto"/>
        <w:jc w:val="both"/>
        <w:textAlignment w:val="baseline"/>
        <w:rPr>
          <w:rFonts w:ascii="Cambria" w:hAnsi="Cambria" w:cs="Arial"/>
          <w:color w:val="auto"/>
          <w:sz w:val="24"/>
          <w:szCs w:val="24"/>
        </w:rPr>
      </w:pPr>
    </w:p>
    <w:p w:rsidR="008743AF" w:rsidRPr="00DF7CE4" w:rsidRDefault="008743AF" w:rsidP="00DF7CE4">
      <w:pPr>
        <w:pStyle w:val="Heading3"/>
        <w:shd w:val="clear" w:color="auto" w:fill="FFFFFF"/>
        <w:spacing w:before="0" w:after="120" w:line="240" w:lineRule="auto"/>
        <w:jc w:val="both"/>
        <w:textAlignment w:val="baseline"/>
        <w:rPr>
          <w:rFonts w:ascii="Cambria" w:hAnsi="Cambria" w:cs="Arial"/>
          <w:color w:val="auto"/>
          <w:sz w:val="24"/>
          <w:szCs w:val="24"/>
        </w:rPr>
      </w:pPr>
      <w:r w:rsidRPr="00DF7CE4">
        <w:rPr>
          <w:rFonts w:ascii="Cambria" w:hAnsi="Cambria" w:cs="Arial"/>
          <w:color w:val="auto"/>
          <w:sz w:val="24"/>
          <w:szCs w:val="24"/>
        </w:rPr>
        <w:t>Правно основание</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Член 3, параграф 2 от ДЕС гласи: „Съюзът предоставя на своите граждани пространство на свобода, сигурност и правосъдие без вътрешни граници, в което е гарантирано свободното движение на хора в съчетание с подходящи мерки по отношение на контрола на външните граници, убежището, имиграцията, както и предотвратяването и борбата с престъпността“. Следва да се отбележи, че този член, който цели да изложи основните цели на ЕС, отдава по-голям приоритет на създаването на пространство на свобода, сигурност и правосъдие (ПССП) отколкото предишния Договор от Ница, като тази цел е посочена дори преди целта за създаване на вътрешен пазар.</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Дял V от ДФЕС — параграфи от 67 до 89, е посветен на ПССП. Освен общите разпоредби този дял съдържа конкретни глави, посветени съответно на всяка от следните области:</w:t>
      </w:r>
    </w:p>
    <w:p w:rsidR="008743AF" w:rsidRPr="00DF7CE4" w:rsidRDefault="008743AF" w:rsidP="00DF7CE4">
      <w:pPr>
        <w:numPr>
          <w:ilvl w:val="0"/>
          <w:numId w:val="8"/>
        </w:numPr>
        <w:shd w:val="clear" w:color="auto" w:fill="FFFFFF"/>
        <w:spacing w:after="120" w:line="240" w:lineRule="auto"/>
        <w:ind w:left="0" w:firstLine="284"/>
        <w:jc w:val="both"/>
        <w:textAlignment w:val="baseline"/>
        <w:rPr>
          <w:rFonts w:ascii="Cambria" w:hAnsi="Cambria" w:cs="Arial"/>
          <w:sz w:val="24"/>
          <w:szCs w:val="24"/>
          <w:lang w:val="bg-BG"/>
        </w:rPr>
      </w:pPr>
      <w:r w:rsidRPr="00DF7CE4">
        <w:rPr>
          <w:rFonts w:ascii="Cambria" w:hAnsi="Cambria" w:cs="Arial"/>
          <w:sz w:val="24"/>
          <w:szCs w:val="24"/>
          <w:lang w:val="bg-BG"/>
        </w:rPr>
        <w:t>политики относно контрола по границите, убежището и имиграцията,</w:t>
      </w:r>
    </w:p>
    <w:p w:rsidR="008743AF" w:rsidRPr="00DF7CE4" w:rsidRDefault="008743AF" w:rsidP="00DF7CE4">
      <w:pPr>
        <w:numPr>
          <w:ilvl w:val="0"/>
          <w:numId w:val="8"/>
        </w:numPr>
        <w:shd w:val="clear" w:color="auto" w:fill="FFFFFF"/>
        <w:spacing w:after="120" w:line="240" w:lineRule="auto"/>
        <w:ind w:left="0" w:firstLine="284"/>
        <w:jc w:val="both"/>
        <w:textAlignment w:val="baseline"/>
        <w:rPr>
          <w:rFonts w:ascii="Cambria" w:hAnsi="Cambria" w:cs="Arial"/>
          <w:sz w:val="24"/>
          <w:szCs w:val="24"/>
          <w:lang w:val="bg-BG"/>
        </w:rPr>
      </w:pPr>
      <w:r w:rsidRPr="00DF7CE4">
        <w:rPr>
          <w:rFonts w:ascii="Cambria" w:hAnsi="Cambria" w:cs="Arial"/>
          <w:sz w:val="24"/>
          <w:szCs w:val="24"/>
          <w:lang w:val="bg-BG"/>
        </w:rPr>
        <w:t xml:space="preserve">съдебно сътрудничество по </w:t>
      </w:r>
      <w:proofErr w:type="spellStart"/>
      <w:r w:rsidRPr="00DF7CE4">
        <w:rPr>
          <w:rFonts w:ascii="Cambria" w:hAnsi="Cambria" w:cs="Arial"/>
          <w:sz w:val="24"/>
          <w:szCs w:val="24"/>
          <w:lang w:val="bg-BG"/>
        </w:rPr>
        <w:t>гражданскоправни</w:t>
      </w:r>
      <w:proofErr w:type="spellEnd"/>
      <w:r w:rsidRPr="00DF7CE4">
        <w:rPr>
          <w:rFonts w:ascii="Cambria" w:hAnsi="Cambria" w:cs="Arial"/>
          <w:sz w:val="24"/>
          <w:szCs w:val="24"/>
          <w:lang w:val="bg-BG"/>
        </w:rPr>
        <w:t xml:space="preserve"> въпроси,</w:t>
      </w:r>
    </w:p>
    <w:p w:rsidR="008743AF" w:rsidRPr="00DF7CE4" w:rsidRDefault="008743AF" w:rsidP="00DF7CE4">
      <w:pPr>
        <w:numPr>
          <w:ilvl w:val="0"/>
          <w:numId w:val="8"/>
        </w:numPr>
        <w:shd w:val="clear" w:color="auto" w:fill="FFFFFF"/>
        <w:spacing w:after="120" w:line="240" w:lineRule="auto"/>
        <w:ind w:left="0" w:firstLine="284"/>
        <w:jc w:val="both"/>
        <w:textAlignment w:val="baseline"/>
        <w:rPr>
          <w:rFonts w:ascii="Cambria" w:hAnsi="Cambria" w:cs="Arial"/>
          <w:sz w:val="24"/>
          <w:szCs w:val="24"/>
          <w:lang w:val="bg-BG"/>
        </w:rPr>
      </w:pPr>
      <w:r w:rsidRPr="00DF7CE4">
        <w:rPr>
          <w:rFonts w:ascii="Cambria" w:hAnsi="Cambria" w:cs="Arial"/>
          <w:sz w:val="24"/>
          <w:szCs w:val="24"/>
          <w:lang w:val="bg-BG"/>
        </w:rPr>
        <w:t xml:space="preserve">съдебно сътрудничество по </w:t>
      </w:r>
      <w:proofErr w:type="spellStart"/>
      <w:r w:rsidRPr="00DF7CE4">
        <w:rPr>
          <w:rFonts w:ascii="Cambria" w:hAnsi="Cambria" w:cs="Arial"/>
          <w:sz w:val="24"/>
          <w:szCs w:val="24"/>
          <w:lang w:val="bg-BG"/>
        </w:rPr>
        <w:t>наказателноправни</w:t>
      </w:r>
      <w:proofErr w:type="spellEnd"/>
      <w:r w:rsidRPr="00DF7CE4">
        <w:rPr>
          <w:rFonts w:ascii="Cambria" w:hAnsi="Cambria" w:cs="Arial"/>
          <w:sz w:val="24"/>
          <w:szCs w:val="24"/>
          <w:lang w:val="bg-BG"/>
        </w:rPr>
        <w:t xml:space="preserve"> въпроси,</w:t>
      </w:r>
    </w:p>
    <w:p w:rsidR="008743AF" w:rsidRPr="00DF7CE4" w:rsidRDefault="008743AF" w:rsidP="00DF7CE4">
      <w:pPr>
        <w:numPr>
          <w:ilvl w:val="0"/>
          <w:numId w:val="8"/>
        </w:numPr>
        <w:shd w:val="clear" w:color="auto" w:fill="FFFFFF"/>
        <w:spacing w:after="120" w:line="240" w:lineRule="auto"/>
        <w:ind w:left="0" w:firstLine="284"/>
        <w:jc w:val="both"/>
        <w:textAlignment w:val="baseline"/>
        <w:rPr>
          <w:rFonts w:ascii="Cambria" w:hAnsi="Cambria" w:cs="Arial"/>
          <w:sz w:val="24"/>
          <w:szCs w:val="24"/>
          <w:lang w:val="bg-BG"/>
        </w:rPr>
      </w:pPr>
      <w:r w:rsidRPr="00DF7CE4">
        <w:rPr>
          <w:rFonts w:ascii="Cambria" w:hAnsi="Cambria" w:cs="Arial"/>
          <w:sz w:val="24"/>
          <w:szCs w:val="24"/>
          <w:lang w:val="bg-BG"/>
        </w:rPr>
        <w:t>полицейско сътрудничество</w:t>
      </w:r>
      <w:bookmarkStart w:id="0" w:name="_ftnref1"/>
      <w:r w:rsidR="007D397E" w:rsidRPr="00DF7CE4">
        <w:rPr>
          <w:rFonts w:ascii="Cambria" w:hAnsi="Cambria" w:cs="Arial"/>
          <w:sz w:val="24"/>
          <w:szCs w:val="24"/>
          <w:lang w:val="bg-BG"/>
        </w:rPr>
        <w:fldChar w:fldCharType="begin"/>
      </w:r>
      <w:r w:rsidRPr="00DF7CE4">
        <w:rPr>
          <w:rFonts w:ascii="Cambria" w:hAnsi="Cambria" w:cs="Arial"/>
          <w:sz w:val="24"/>
          <w:szCs w:val="24"/>
          <w:lang w:val="bg-BG"/>
        </w:rPr>
        <w:instrText xml:space="preserve"> HYPERLINK "http://www.europarl.europa.eu/aboutparliament/bg/displayFtu.html?ftuId=FTU_5.12.1.html" \l "_ftn1" </w:instrText>
      </w:r>
      <w:r w:rsidR="007D397E" w:rsidRPr="00DF7CE4">
        <w:rPr>
          <w:rFonts w:ascii="Cambria" w:hAnsi="Cambria" w:cs="Arial"/>
          <w:sz w:val="24"/>
          <w:szCs w:val="24"/>
          <w:lang w:val="bg-BG"/>
        </w:rPr>
        <w:fldChar w:fldCharType="separate"/>
      </w:r>
      <w:r w:rsidRPr="00DF7CE4">
        <w:rPr>
          <w:rStyle w:val="Hyperlink"/>
          <w:rFonts w:ascii="Cambria" w:hAnsi="Cambria" w:cs="Arial"/>
          <w:color w:val="auto"/>
          <w:sz w:val="24"/>
          <w:szCs w:val="24"/>
          <w:bdr w:val="none" w:sz="0" w:space="0" w:color="auto" w:frame="1"/>
          <w:lang w:val="bg-BG"/>
        </w:rPr>
        <w:t>[1]</w:t>
      </w:r>
      <w:r w:rsidR="007D397E" w:rsidRPr="00DF7CE4">
        <w:rPr>
          <w:rFonts w:ascii="Cambria" w:hAnsi="Cambria" w:cs="Arial"/>
          <w:sz w:val="24"/>
          <w:szCs w:val="24"/>
          <w:lang w:val="bg-BG"/>
        </w:rPr>
        <w:fldChar w:fldCharType="end"/>
      </w:r>
      <w:bookmarkEnd w:id="0"/>
      <w:r w:rsidRPr="00DF7CE4">
        <w:rPr>
          <w:rFonts w:ascii="Cambria" w:hAnsi="Cambria" w:cs="Arial"/>
          <w:sz w:val="24"/>
          <w:szCs w:val="24"/>
          <w:lang w:val="bg-BG"/>
        </w:rPr>
        <w:t>.</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lang w:val="bg-BG"/>
        </w:rPr>
      </w:pPr>
      <w:r w:rsidRPr="00DF7CE4">
        <w:rPr>
          <w:rFonts w:ascii="Cambria" w:hAnsi="Cambria" w:cs="Arial"/>
          <w:lang w:val="bg-BG"/>
        </w:rPr>
        <w:t>Освен тези разпоредби трябва да се споменат и други членове, които са неразривно свързани със създаването на ПССП. Такива например са член 6 от ДЕС относно Хартата на основните права и Европейската конвенция за защита на правата на човека, член 8 от ДФЕС относно премахването на неравенствата, член 15, параграф 3 от ДФЕС относно правото на достъп до документите на институциите, член 16 от ДФЕС относно защитата на личните данни и членове от 18 до 25 от ДФЕС относно недискриминацията и гражданството на Съюза.</w:t>
      </w:r>
    </w:p>
    <w:p w:rsidR="008743AF" w:rsidRPr="00DF7CE4" w:rsidRDefault="008743AF" w:rsidP="00DF7CE4">
      <w:pPr>
        <w:pStyle w:val="Heading3"/>
        <w:shd w:val="clear" w:color="auto" w:fill="FFFFFF"/>
        <w:spacing w:before="0" w:after="120" w:line="240" w:lineRule="auto"/>
        <w:jc w:val="both"/>
        <w:textAlignment w:val="baseline"/>
        <w:rPr>
          <w:rFonts w:ascii="Cambria" w:hAnsi="Cambria" w:cs="Arial"/>
          <w:color w:val="auto"/>
          <w:sz w:val="24"/>
          <w:szCs w:val="24"/>
          <w:lang w:val="bg-BG"/>
        </w:rPr>
      </w:pPr>
      <w:r w:rsidRPr="00DF7CE4">
        <w:rPr>
          <w:rFonts w:ascii="Cambria" w:hAnsi="Cambria" w:cs="Arial"/>
          <w:color w:val="auto"/>
          <w:sz w:val="24"/>
          <w:szCs w:val="24"/>
          <w:lang w:val="bg-BG"/>
        </w:rPr>
        <w:lastRenderedPageBreak/>
        <w:t>Цели</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lang w:val="bg-BG"/>
        </w:rPr>
      </w:pPr>
      <w:r w:rsidRPr="00DF7CE4">
        <w:rPr>
          <w:rFonts w:ascii="Cambria" w:hAnsi="Cambria" w:cs="Arial"/>
          <w:lang w:val="bg-BG"/>
        </w:rPr>
        <w:t>Заложените цели за ПССП са уточнени в член 67 от ДФЕС:</w:t>
      </w:r>
    </w:p>
    <w:p w:rsidR="008743AF" w:rsidRPr="00DF7CE4" w:rsidRDefault="008743AF" w:rsidP="00DF7CE4">
      <w:pPr>
        <w:numPr>
          <w:ilvl w:val="0"/>
          <w:numId w:val="9"/>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„Съюзът представлява пространство на свобода, сигурност и правосъдие, в което се зачитат основните права и различните правни системи и традиции на държавите членки.</w:t>
      </w:r>
    </w:p>
    <w:p w:rsidR="008743AF" w:rsidRPr="00DF7CE4" w:rsidRDefault="008743AF" w:rsidP="00DF7CE4">
      <w:pPr>
        <w:numPr>
          <w:ilvl w:val="0"/>
          <w:numId w:val="9"/>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 xml:space="preserve">Той осигурява отсъствието на контрол на лицата на вътрешните граници и развива единна политика по въпросите на убежището, имиграцията и контрола на външните граници, която се основава на солидарността между държавите членки и е справедлива спрямо гражданите на трети страни. По смисъла на настоящия дял </w:t>
      </w:r>
      <w:proofErr w:type="spellStart"/>
      <w:r w:rsidRPr="00DF7CE4">
        <w:rPr>
          <w:rFonts w:ascii="Cambria" w:hAnsi="Cambria" w:cs="Arial"/>
          <w:sz w:val="24"/>
          <w:szCs w:val="24"/>
          <w:lang w:val="bg-BG"/>
        </w:rPr>
        <w:t>апатридите</w:t>
      </w:r>
      <w:proofErr w:type="spellEnd"/>
      <w:r w:rsidRPr="00DF7CE4">
        <w:rPr>
          <w:rFonts w:ascii="Cambria" w:hAnsi="Cambria" w:cs="Arial"/>
          <w:sz w:val="24"/>
          <w:szCs w:val="24"/>
          <w:lang w:val="bg-BG"/>
        </w:rPr>
        <w:t xml:space="preserve"> се считат за граждани на трети страни.</w:t>
      </w:r>
    </w:p>
    <w:p w:rsidR="008743AF" w:rsidRPr="00DF7CE4" w:rsidRDefault="008743AF" w:rsidP="00DF7CE4">
      <w:pPr>
        <w:numPr>
          <w:ilvl w:val="0"/>
          <w:numId w:val="9"/>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Съюзът допринася за осигуряването на високо равнище на сигурност чрез мерки за предотвратяване на престъпността, расизма и ксенофобията, както и за борба с тях, чрез мерки за координиране и сътрудничество между полицейските и съдебните органи и другите компетентни органи, както и чрез взаимното признаване на съдебните решения по наказателни дела и, ако е необходимо, чрез сближаването на наказателните законодателства.</w:t>
      </w:r>
    </w:p>
    <w:p w:rsidR="008743AF" w:rsidRPr="00DF7CE4" w:rsidRDefault="008743AF" w:rsidP="00DF7CE4">
      <w:pPr>
        <w:numPr>
          <w:ilvl w:val="0"/>
          <w:numId w:val="9"/>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Съюзът улеснява достъпа до правосъдие, по-специално чрез принципа на взаимното признаване на съдебните и извънсъдебните решения по граждански дела.“</w:t>
      </w:r>
    </w:p>
    <w:p w:rsidR="008743AF" w:rsidRPr="00DF7CE4" w:rsidRDefault="008743AF" w:rsidP="00DF7CE4">
      <w:pPr>
        <w:pStyle w:val="Heading3"/>
        <w:shd w:val="clear" w:color="auto" w:fill="FFFFFF"/>
        <w:spacing w:before="0" w:after="120" w:line="240" w:lineRule="auto"/>
        <w:jc w:val="both"/>
        <w:textAlignment w:val="baseline"/>
        <w:rPr>
          <w:rFonts w:ascii="Cambria" w:hAnsi="Cambria" w:cs="Arial"/>
          <w:color w:val="auto"/>
          <w:sz w:val="24"/>
          <w:szCs w:val="24"/>
          <w:lang w:val="bg-BG"/>
        </w:rPr>
      </w:pPr>
      <w:r w:rsidRPr="00DF7CE4">
        <w:rPr>
          <w:rFonts w:ascii="Cambria" w:hAnsi="Cambria" w:cs="Arial"/>
          <w:color w:val="auto"/>
          <w:sz w:val="24"/>
          <w:szCs w:val="24"/>
          <w:lang w:val="bg-BG"/>
        </w:rPr>
        <w:t>Постижения</w:t>
      </w:r>
    </w:p>
    <w:p w:rsidR="008743AF" w:rsidRPr="00DF7CE4" w:rsidRDefault="008743AF" w:rsidP="00DF7CE4">
      <w:pPr>
        <w:pStyle w:val="Heading4"/>
        <w:shd w:val="clear" w:color="auto" w:fill="FFFFFF"/>
        <w:spacing w:before="0" w:after="120" w:line="240" w:lineRule="auto"/>
        <w:jc w:val="both"/>
        <w:textAlignment w:val="baseline"/>
        <w:rPr>
          <w:rFonts w:ascii="Cambria" w:hAnsi="Cambria" w:cs="Arial"/>
          <w:b w:val="0"/>
          <w:bCs w:val="0"/>
          <w:color w:val="auto"/>
          <w:sz w:val="24"/>
          <w:szCs w:val="24"/>
          <w:lang w:val="bg-BG"/>
        </w:rPr>
      </w:pPr>
      <w:r w:rsidRPr="00DF7CE4">
        <w:rPr>
          <w:rStyle w:val="num"/>
          <w:rFonts w:ascii="Cambria" w:hAnsi="Cambria" w:cs="Arial"/>
          <w:caps/>
          <w:color w:val="auto"/>
          <w:sz w:val="24"/>
          <w:szCs w:val="24"/>
          <w:bdr w:val="none" w:sz="0" w:space="0" w:color="auto" w:frame="1"/>
          <w:lang w:val="bg-BG"/>
        </w:rPr>
        <w:t>А.</w:t>
      </w:r>
      <w:r w:rsidRPr="00DF7CE4">
        <w:rPr>
          <w:rStyle w:val="apple-converted-space"/>
          <w:rFonts w:ascii="Cambria" w:hAnsi="Cambria" w:cs="Arial"/>
          <w:caps/>
          <w:color w:val="auto"/>
          <w:sz w:val="24"/>
          <w:szCs w:val="24"/>
          <w:bdr w:val="none" w:sz="0" w:space="0" w:color="auto" w:frame="1"/>
        </w:rPr>
        <w:t> </w:t>
      </w:r>
      <w:r w:rsidRPr="00DF7CE4">
        <w:rPr>
          <w:rFonts w:ascii="Cambria" w:hAnsi="Cambria" w:cs="Arial"/>
          <w:b w:val="0"/>
          <w:bCs w:val="0"/>
          <w:color w:val="auto"/>
          <w:sz w:val="24"/>
          <w:szCs w:val="24"/>
          <w:lang w:val="bg-BG"/>
        </w:rPr>
        <w:t>Основни нововъведения с Договора от Лисабон</w:t>
      </w:r>
    </w:p>
    <w:p w:rsidR="008743AF" w:rsidRPr="00DF7CE4" w:rsidRDefault="008743AF" w:rsidP="00DF7CE4">
      <w:pPr>
        <w:pStyle w:val="Heading5"/>
        <w:shd w:val="clear" w:color="auto" w:fill="FFFFFF"/>
        <w:spacing w:after="120" w:line="240" w:lineRule="auto"/>
        <w:jc w:val="both"/>
        <w:textAlignment w:val="baseline"/>
        <w:rPr>
          <w:rFonts w:ascii="Cambria" w:hAnsi="Cambria" w:cs="Arial"/>
          <w:b w:val="0"/>
          <w:bCs/>
          <w:lang w:val="bg-BG"/>
        </w:rPr>
      </w:pPr>
      <w:r w:rsidRPr="00DF7CE4">
        <w:rPr>
          <w:rStyle w:val="num"/>
          <w:rFonts w:ascii="Cambria" w:hAnsi="Cambria" w:cs="Arial"/>
          <w:bdr w:val="none" w:sz="0" w:space="0" w:color="auto" w:frame="1"/>
          <w:lang w:val="bg-BG"/>
        </w:rPr>
        <w:t>1.</w:t>
      </w:r>
      <w:r w:rsidRPr="00DF7CE4">
        <w:rPr>
          <w:rFonts w:ascii="Cambria" w:hAnsi="Cambria" w:cs="Arial"/>
          <w:b w:val="0"/>
          <w:bCs/>
          <w:lang w:val="bg-BG"/>
        </w:rPr>
        <w:t>По-ефикасна и демократична процедура за вземане на решения</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lang w:val="bg-BG"/>
        </w:rPr>
      </w:pPr>
      <w:r w:rsidRPr="00DF7CE4">
        <w:rPr>
          <w:rFonts w:ascii="Cambria" w:hAnsi="Cambria" w:cs="Arial"/>
          <w:lang w:val="bg-BG"/>
        </w:rPr>
        <w:t xml:space="preserve">Договорът от Лисабон премахна третия стълб, който се основаваше на междуправителствено сътрудничество, като по този начин въведе повсеместно </w:t>
      </w:r>
      <w:proofErr w:type="spellStart"/>
      <w:r w:rsidRPr="00DF7CE4">
        <w:rPr>
          <w:rFonts w:ascii="Cambria" w:hAnsi="Cambria" w:cs="Arial"/>
          <w:lang w:val="bg-BG"/>
        </w:rPr>
        <w:t>общностния</w:t>
      </w:r>
      <w:proofErr w:type="spellEnd"/>
      <w:r w:rsidRPr="00DF7CE4">
        <w:rPr>
          <w:rFonts w:ascii="Cambria" w:hAnsi="Cambria" w:cs="Arial"/>
          <w:lang w:val="bg-BG"/>
        </w:rPr>
        <w:t xml:space="preserve"> метод в ПССП. Оттогава приемането на законодателни текстове се извършва по принцип съгласно обикновената законодателна процедура, описана в член 294 от ДФЕС. Съветът решава с квалифицирано мнозинство, а ЕП, в качеството си на </w:t>
      </w:r>
      <w:proofErr w:type="spellStart"/>
      <w:r w:rsidRPr="00DF7CE4">
        <w:rPr>
          <w:rFonts w:ascii="Cambria" w:hAnsi="Cambria" w:cs="Arial"/>
          <w:lang w:val="bg-BG"/>
        </w:rPr>
        <w:t>съзаконодател</w:t>
      </w:r>
      <w:proofErr w:type="spellEnd"/>
      <w:r w:rsidRPr="00DF7CE4">
        <w:rPr>
          <w:rFonts w:ascii="Cambria" w:hAnsi="Cambria" w:cs="Arial"/>
          <w:lang w:val="bg-BG"/>
        </w:rPr>
        <w:t>, се произнася съгласно процедурата за съвместно вземане на решения.</w:t>
      </w:r>
    </w:p>
    <w:p w:rsidR="008743AF" w:rsidRPr="00DF7CE4" w:rsidRDefault="008743AF" w:rsidP="00DF7CE4">
      <w:pPr>
        <w:pStyle w:val="Heading5"/>
        <w:shd w:val="clear" w:color="auto" w:fill="FFFFFF"/>
        <w:spacing w:after="120" w:line="240" w:lineRule="auto"/>
        <w:jc w:val="both"/>
        <w:textAlignment w:val="baseline"/>
        <w:rPr>
          <w:rFonts w:ascii="Cambria" w:hAnsi="Cambria" w:cs="Arial"/>
          <w:b w:val="0"/>
        </w:rPr>
      </w:pPr>
      <w:r w:rsidRPr="00DF7CE4">
        <w:rPr>
          <w:rStyle w:val="num"/>
          <w:rFonts w:ascii="Cambria" w:hAnsi="Cambria" w:cs="Arial"/>
          <w:bdr w:val="none" w:sz="0" w:space="0" w:color="auto" w:frame="1"/>
        </w:rPr>
        <w:t>2.</w:t>
      </w:r>
      <w:r w:rsidRPr="00DF7CE4">
        <w:rPr>
          <w:rFonts w:ascii="Cambria" w:hAnsi="Cambria" w:cs="Arial"/>
          <w:b w:val="0"/>
          <w:bCs/>
        </w:rPr>
        <w:t>Нова роля за националните парламенти</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Член 12 от ДЕС и Протоколи № 1 и 2 уточняват ролята на националните парламенти в рамките на ЕС. Националните парламенти разполагат в частност със срок от осем седмици, за да проучат всеки проект на законодателен акт по отношение на принципа на субсидиарност преди да може да се вземе решение по този проект на равнище ЕС. Що се отнася до ПССП, ако четвърт от националните парламенти го изискат, този проект трябва да бъде преразгледан (член 7, параграф 2 от Протокол № 2).</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Съдът на ЕС може да бъде сезиран с иск за отмяна на законодателен акт поради нарушение на принципа на субсидиарност.</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lastRenderedPageBreak/>
        <w:t>Националните парламенти участват в оценката на Евроюст и Европол (членове 85 и 88 от ДФЕС).</w:t>
      </w:r>
    </w:p>
    <w:p w:rsidR="008743AF" w:rsidRPr="00DF7CE4" w:rsidRDefault="008743AF" w:rsidP="00DF7CE4">
      <w:pPr>
        <w:pStyle w:val="Heading5"/>
        <w:shd w:val="clear" w:color="auto" w:fill="FFFFFF"/>
        <w:spacing w:after="120" w:line="240" w:lineRule="auto"/>
        <w:jc w:val="both"/>
        <w:textAlignment w:val="baseline"/>
        <w:rPr>
          <w:rFonts w:ascii="Cambria" w:hAnsi="Cambria" w:cs="Arial"/>
          <w:b w:val="0"/>
        </w:rPr>
      </w:pPr>
      <w:r w:rsidRPr="00DF7CE4">
        <w:rPr>
          <w:rStyle w:val="num"/>
          <w:rFonts w:ascii="Cambria" w:hAnsi="Cambria" w:cs="Arial"/>
          <w:bdr w:val="none" w:sz="0" w:space="0" w:color="auto" w:frame="1"/>
        </w:rPr>
        <w:t>3.</w:t>
      </w:r>
      <w:r w:rsidRPr="00DF7CE4">
        <w:rPr>
          <w:rFonts w:ascii="Cambria" w:hAnsi="Cambria" w:cs="Arial"/>
          <w:b w:val="0"/>
          <w:bCs/>
        </w:rPr>
        <w:t>Засилени правомощия на Съда на ЕС</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Съдът може бъде сезиран без ограничение по преюдициални въпроси по всички аспекти на ПССП. Въпреки това, в рамките на петгодишен период, считано от влизането в сила на Договора от Лисабон, приетите в рамките на предишния договор актове в областта на полицейското и съдебното сътрудничество по наказателноправни въпроси невинаги могат да бъдат обжалвани. Същата система важи за исковете за неизпълнение на задължения, предявени пред Съда на ЕС (Протокол № 36).</w:t>
      </w:r>
    </w:p>
    <w:p w:rsidR="008743AF" w:rsidRPr="00DF7CE4" w:rsidRDefault="008743AF" w:rsidP="00DF7CE4">
      <w:pPr>
        <w:pStyle w:val="Heading5"/>
        <w:shd w:val="clear" w:color="auto" w:fill="FFFFFF"/>
        <w:spacing w:after="120" w:line="240" w:lineRule="auto"/>
        <w:jc w:val="both"/>
        <w:textAlignment w:val="baseline"/>
        <w:rPr>
          <w:rFonts w:ascii="Cambria" w:hAnsi="Cambria" w:cs="Arial"/>
          <w:b w:val="0"/>
        </w:rPr>
      </w:pPr>
      <w:r w:rsidRPr="00DF7CE4">
        <w:rPr>
          <w:rStyle w:val="num"/>
          <w:rFonts w:ascii="Cambria" w:hAnsi="Cambria" w:cs="Arial"/>
          <w:bdr w:val="none" w:sz="0" w:space="0" w:color="auto" w:frame="1"/>
        </w:rPr>
        <w:t>4.</w:t>
      </w:r>
      <w:r w:rsidRPr="00DF7CE4">
        <w:rPr>
          <w:rFonts w:ascii="Cambria" w:hAnsi="Cambria" w:cs="Arial"/>
          <w:b w:val="0"/>
          <w:bCs/>
        </w:rPr>
        <w:t>Засилена роля на Комисията</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 xml:space="preserve">Възможността Комисията да предявява искове за неизпълнение на задължения срещу държавите членки, които не спазват разпоредбите относно ПССП, представлява важно нововъведение, което ѝ </w:t>
      </w:r>
      <w:r w:rsidRPr="00DF7CE4">
        <w:rPr>
          <w:rFonts w:ascii="Cambria" w:hAnsi="Cambria" w:cs="Arial Narrow"/>
        </w:rPr>
        <w:t>предоставя</w:t>
      </w:r>
      <w:r w:rsidRPr="00DF7CE4">
        <w:rPr>
          <w:rFonts w:ascii="Cambria" w:hAnsi="Cambria" w:cs="Arial"/>
        </w:rPr>
        <w:t xml:space="preserve"> </w:t>
      </w:r>
      <w:r w:rsidRPr="00DF7CE4">
        <w:rPr>
          <w:rFonts w:ascii="Cambria" w:hAnsi="Cambria" w:cs="Arial Narrow"/>
        </w:rPr>
        <w:t>ново</w:t>
      </w:r>
      <w:r w:rsidRPr="00DF7CE4">
        <w:rPr>
          <w:rFonts w:ascii="Cambria" w:hAnsi="Cambria" w:cs="Arial"/>
        </w:rPr>
        <w:t xml:space="preserve"> </w:t>
      </w:r>
      <w:r w:rsidRPr="00DF7CE4">
        <w:rPr>
          <w:rFonts w:ascii="Cambria" w:hAnsi="Cambria" w:cs="Arial Narrow"/>
        </w:rPr>
        <w:t>правомощие</w:t>
      </w:r>
      <w:r w:rsidRPr="00DF7CE4">
        <w:rPr>
          <w:rFonts w:ascii="Cambria" w:hAnsi="Cambria" w:cs="Arial"/>
        </w:rPr>
        <w:t xml:space="preserve"> </w:t>
      </w:r>
      <w:r w:rsidRPr="00DF7CE4">
        <w:rPr>
          <w:rFonts w:ascii="Cambria" w:hAnsi="Cambria" w:cs="Arial Narrow"/>
        </w:rPr>
        <w:t>за</w:t>
      </w:r>
      <w:r w:rsidRPr="00DF7CE4">
        <w:rPr>
          <w:rFonts w:ascii="Cambria" w:hAnsi="Cambria" w:cs="Arial"/>
        </w:rPr>
        <w:t xml:space="preserve"> </w:t>
      </w:r>
      <w:r w:rsidRPr="00DF7CE4">
        <w:rPr>
          <w:rFonts w:ascii="Cambria" w:hAnsi="Cambria" w:cs="Arial Narrow"/>
        </w:rPr>
        <w:t>мониторинг</w:t>
      </w:r>
      <w:r w:rsidRPr="00DF7CE4">
        <w:rPr>
          <w:rFonts w:ascii="Cambria" w:hAnsi="Cambria" w:cs="Arial"/>
        </w:rPr>
        <w:t xml:space="preserve"> </w:t>
      </w:r>
      <w:r w:rsidRPr="00DF7CE4">
        <w:rPr>
          <w:rFonts w:ascii="Cambria" w:hAnsi="Cambria" w:cs="Arial Narrow"/>
        </w:rPr>
        <w:t>на</w:t>
      </w:r>
      <w:r w:rsidRPr="00DF7CE4">
        <w:rPr>
          <w:rFonts w:ascii="Cambria" w:hAnsi="Cambria" w:cs="Arial"/>
        </w:rPr>
        <w:t xml:space="preserve"> </w:t>
      </w:r>
      <w:r w:rsidRPr="00DF7CE4">
        <w:rPr>
          <w:rFonts w:ascii="Cambria" w:hAnsi="Cambria" w:cs="Arial Narrow"/>
        </w:rPr>
        <w:t>прилагането</w:t>
      </w:r>
      <w:r w:rsidRPr="00DF7CE4">
        <w:rPr>
          <w:rFonts w:ascii="Cambria" w:hAnsi="Cambria" w:cs="Arial"/>
        </w:rPr>
        <w:t xml:space="preserve"> </w:t>
      </w:r>
      <w:r w:rsidRPr="00DF7CE4">
        <w:rPr>
          <w:rFonts w:ascii="Cambria" w:hAnsi="Cambria" w:cs="Arial Narrow"/>
        </w:rPr>
        <w:t>на</w:t>
      </w:r>
      <w:r w:rsidRPr="00DF7CE4">
        <w:rPr>
          <w:rFonts w:ascii="Cambria" w:hAnsi="Cambria" w:cs="Arial"/>
        </w:rPr>
        <w:t xml:space="preserve"> </w:t>
      </w:r>
      <w:r w:rsidRPr="00DF7CE4">
        <w:rPr>
          <w:rFonts w:ascii="Cambria" w:hAnsi="Cambria" w:cs="Arial Narrow"/>
        </w:rPr>
        <w:t>законодателството</w:t>
      </w:r>
      <w:r w:rsidRPr="00DF7CE4">
        <w:rPr>
          <w:rFonts w:ascii="Cambria" w:hAnsi="Cambria" w:cs="Arial"/>
        </w:rPr>
        <w:t>.</w:t>
      </w:r>
    </w:p>
    <w:p w:rsidR="008743AF" w:rsidRPr="00DF7CE4" w:rsidRDefault="008743AF" w:rsidP="00DF7CE4">
      <w:pPr>
        <w:pStyle w:val="Heading5"/>
        <w:shd w:val="clear" w:color="auto" w:fill="FFFFFF"/>
        <w:spacing w:after="120" w:line="240" w:lineRule="auto"/>
        <w:jc w:val="both"/>
        <w:textAlignment w:val="baseline"/>
        <w:rPr>
          <w:rFonts w:ascii="Cambria" w:hAnsi="Cambria" w:cs="Arial"/>
          <w:b w:val="0"/>
        </w:rPr>
      </w:pPr>
      <w:r w:rsidRPr="00DF7CE4">
        <w:rPr>
          <w:rStyle w:val="num"/>
          <w:rFonts w:ascii="Cambria" w:hAnsi="Cambria" w:cs="Arial"/>
          <w:bdr w:val="none" w:sz="0" w:space="0" w:color="auto" w:frame="1"/>
        </w:rPr>
        <w:t>5.</w:t>
      </w:r>
      <w:r w:rsidRPr="00DF7CE4">
        <w:rPr>
          <w:rFonts w:ascii="Cambria" w:hAnsi="Cambria" w:cs="Arial"/>
          <w:b w:val="0"/>
          <w:bCs/>
        </w:rPr>
        <w:t>Възможна намеса на държавите членки в оценката на прилагането на политиките в областта на ПССП</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Член 70 от ДФЕС гласи, че Съветът, по предложение на Комисията, може да приема мерки за установяване на реда и условията, при които държавите членки, в сътрудничество с Комисията, правят обективна и безпристрастна оценка на прилагането, от страна на органите на държавите членки, на политиките в областта на ПССП.</w:t>
      </w:r>
    </w:p>
    <w:p w:rsidR="008743AF" w:rsidRPr="00DF7CE4" w:rsidRDefault="008743AF" w:rsidP="00DF7CE4">
      <w:pPr>
        <w:pStyle w:val="Heading4"/>
        <w:shd w:val="clear" w:color="auto" w:fill="FFFFFF"/>
        <w:spacing w:before="0" w:after="120" w:line="240" w:lineRule="auto"/>
        <w:jc w:val="both"/>
        <w:textAlignment w:val="baseline"/>
        <w:rPr>
          <w:rFonts w:ascii="Cambria" w:hAnsi="Cambria" w:cs="Arial"/>
          <w:b w:val="0"/>
          <w:bCs w:val="0"/>
          <w:color w:val="auto"/>
          <w:sz w:val="24"/>
          <w:szCs w:val="24"/>
        </w:rPr>
      </w:pPr>
      <w:r w:rsidRPr="00DF7CE4">
        <w:rPr>
          <w:rStyle w:val="num"/>
          <w:rFonts w:ascii="Cambria" w:hAnsi="Cambria" w:cs="Arial"/>
          <w:caps/>
          <w:color w:val="auto"/>
          <w:sz w:val="24"/>
          <w:szCs w:val="24"/>
          <w:bdr w:val="none" w:sz="0" w:space="0" w:color="auto" w:frame="1"/>
        </w:rPr>
        <w:t>Б.</w:t>
      </w:r>
      <w:r w:rsidRPr="00DF7CE4">
        <w:rPr>
          <w:rStyle w:val="apple-converted-space"/>
          <w:rFonts w:ascii="Cambria" w:hAnsi="Cambria" w:cs="Arial"/>
          <w:caps/>
          <w:color w:val="auto"/>
          <w:sz w:val="24"/>
          <w:szCs w:val="24"/>
          <w:bdr w:val="none" w:sz="0" w:space="0" w:color="auto" w:frame="1"/>
        </w:rPr>
        <w:t> </w:t>
      </w:r>
      <w:r w:rsidRPr="00DF7CE4">
        <w:rPr>
          <w:rFonts w:ascii="Cambria" w:hAnsi="Cambria" w:cs="Arial"/>
          <w:b w:val="0"/>
          <w:bCs w:val="0"/>
          <w:color w:val="auto"/>
          <w:sz w:val="24"/>
          <w:szCs w:val="24"/>
        </w:rPr>
        <w:t>Ролята на Европейския съвет в планирането</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Успоредно с промените, свързани с последователните Договори, трябва специално да се подчертае ролята на Европейския съвет по отношение на промените и напредъка, постигнат в различните области на ПССП.</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През октомври 1999 г. Европейският съвет от Тампере проведе специална среща относно създаването на пространство на свобода, сигурност и правосъдие, като използва пълноценно възможностите, предлагани от Договора от Амстердам.</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През ноември 2004 г. Европейският съвет прие нова петгодишна програма за действие, Хагската програма.</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На 10 и 11 декември 2009 г. Европейският съвет прие програмата от Стокхолм. Тази нова многогодишна програма за периода 2010―2014 г. се фокусира върху интересите и нуждите на гражданите и другите лица, пред които ЕС носи отговорност.</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Договорът от Лисабон официално признава значителната роля на Европейския съвет за определяне на „стратегическите насоки на законодателното и оперативно планиране в пространството на свобода, сигурност и правосъдие“ (член 68 от ДФЕС).</w:t>
      </w:r>
    </w:p>
    <w:p w:rsidR="008743AF" w:rsidRPr="00DF7CE4" w:rsidRDefault="008743AF" w:rsidP="00DF7CE4">
      <w:pPr>
        <w:pStyle w:val="Heading4"/>
        <w:shd w:val="clear" w:color="auto" w:fill="FFFFFF"/>
        <w:spacing w:before="0" w:after="120" w:line="240" w:lineRule="auto"/>
        <w:jc w:val="both"/>
        <w:textAlignment w:val="baseline"/>
        <w:rPr>
          <w:rFonts w:ascii="Cambria" w:hAnsi="Cambria" w:cs="Arial"/>
          <w:b w:val="0"/>
          <w:bCs w:val="0"/>
          <w:color w:val="auto"/>
          <w:sz w:val="24"/>
          <w:szCs w:val="24"/>
        </w:rPr>
      </w:pPr>
      <w:r w:rsidRPr="00DF7CE4">
        <w:rPr>
          <w:rStyle w:val="num"/>
          <w:rFonts w:ascii="Cambria" w:hAnsi="Cambria" w:cs="Arial"/>
          <w:caps/>
          <w:color w:val="auto"/>
          <w:sz w:val="24"/>
          <w:szCs w:val="24"/>
          <w:bdr w:val="none" w:sz="0" w:space="0" w:color="auto" w:frame="1"/>
        </w:rPr>
        <w:t>В.</w:t>
      </w:r>
      <w:r w:rsidRPr="00DF7CE4">
        <w:rPr>
          <w:rStyle w:val="apple-converted-space"/>
          <w:rFonts w:ascii="Cambria" w:hAnsi="Cambria" w:cs="Arial"/>
          <w:caps/>
          <w:color w:val="auto"/>
          <w:sz w:val="24"/>
          <w:szCs w:val="24"/>
          <w:bdr w:val="none" w:sz="0" w:space="0" w:color="auto" w:frame="1"/>
        </w:rPr>
        <w:t> </w:t>
      </w:r>
      <w:r w:rsidRPr="00DF7CE4">
        <w:rPr>
          <w:rFonts w:ascii="Cambria" w:hAnsi="Cambria" w:cs="Arial"/>
          <w:b w:val="0"/>
          <w:bCs w:val="0"/>
          <w:color w:val="auto"/>
          <w:sz w:val="24"/>
          <w:szCs w:val="24"/>
        </w:rPr>
        <w:t>Създаване на специализирани органи за управлението на ПССП: агенции</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 xml:space="preserve">Бяха създадени различни агенции, които да спомогнат за управлението на политиките в редица важни области на ПССП: Европол — за полицейското </w:t>
      </w:r>
      <w:r w:rsidRPr="00DF7CE4">
        <w:rPr>
          <w:rFonts w:ascii="Cambria" w:hAnsi="Cambria" w:cs="Arial"/>
        </w:rPr>
        <w:lastRenderedPageBreak/>
        <w:t>сътрудничество, Европейския полицейски колеж (CEPOL), Евроюст — за съдебното сътрудничество по наказателноправни въпроси, Агенцията за основните права на ЕС, която се занимава с основните права и дискриминацията, Европейския център за мониторинг на наркотици и наркомании, Агенцията за управление на оперативното сътрудничество по външните граници (Frontex), която отговаря за координирането на външните граници, Европейската служба за подкрепа в областта на убежището и отскоро Европейската агенция за управление на широкомащабни информационни системи в областта на правосъдието, свободата и сигурността (eu-LISA).</w:t>
      </w:r>
    </w:p>
    <w:p w:rsidR="008743AF" w:rsidRPr="00DF7CE4" w:rsidRDefault="008743AF" w:rsidP="00DF7CE4">
      <w:pPr>
        <w:pStyle w:val="Heading3"/>
        <w:shd w:val="clear" w:color="auto" w:fill="FFFFFF"/>
        <w:spacing w:before="0" w:after="120" w:line="240" w:lineRule="auto"/>
        <w:jc w:val="both"/>
        <w:textAlignment w:val="baseline"/>
        <w:rPr>
          <w:rFonts w:ascii="Cambria" w:hAnsi="Cambria" w:cs="Arial"/>
          <w:color w:val="auto"/>
          <w:sz w:val="24"/>
          <w:szCs w:val="24"/>
        </w:rPr>
      </w:pPr>
      <w:r w:rsidRPr="00DF7CE4">
        <w:rPr>
          <w:rFonts w:ascii="Cambria" w:hAnsi="Cambria" w:cs="Arial"/>
          <w:color w:val="auto"/>
          <w:sz w:val="24"/>
          <w:szCs w:val="24"/>
        </w:rPr>
        <w:t>Роля на Европейския парламент</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t>Европейският парламент разполага с редица инструмента и правомощия за цялостното изпълнение на своята роля:</w:t>
      </w:r>
    </w:p>
    <w:p w:rsidR="008743AF" w:rsidRPr="00DF7CE4" w:rsidRDefault="008743AF" w:rsidP="00DF7CE4">
      <w:pPr>
        <w:numPr>
          <w:ilvl w:val="0"/>
          <w:numId w:val="10"/>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 xml:space="preserve">правомощия в законодателната област, където дори преди да влезе в сила Договорът от Лисабон Европейският парламент действаше в качеството на </w:t>
      </w:r>
      <w:proofErr w:type="spellStart"/>
      <w:r w:rsidRPr="00DF7CE4">
        <w:rPr>
          <w:rFonts w:ascii="Cambria" w:hAnsi="Cambria" w:cs="Arial"/>
          <w:sz w:val="24"/>
          <w:szCs w:val="24"/>
          <w:lang w:val="bg-BG"/>
        </w:rPr>
        <w:t>съзаконодател</w:t>
      </w:r>
      <w:proofErr w:type="spellEnd"/>
      <w:r w:rsidRPr="00DF7CE4">
        <w:rPr>
          <w:rFonts w:ascii="Cambria" w:hAnsi="Cambria" w:cs="Arial"/>
          <w:sz w:val="24"/>
          <w:szCs w:val="24"/>
          <w:lang w:val="bg-BG"/>
        </w:rPr>
        <w:t xml:space="preserve"> в рамките на процедурата за съвместно вземане на решения, като неговата намеса по въпроси от третия стълб се свеждаше до консултативни становища;</w:t>
      </w:r>
    </w:p>
    <w:p w:rsidR="008743AF" w:rsidRPr="00DF7CE4" w:rsidRDefault="008743AF" w:rsidP="00DF7CE4">
      <w:pPr>
        <w:numPr>
          <w:ilvl w:val="0"/>
          <w:numId w:val="10"/>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бюджетни правомощия, като Европейският парламент определя съвместно със Съвета бюджета на ЕС;</w:t>
      </w:r>
    </w:p>
    <w:p w:rsidR="008743AF" w:rsidRPr="00DF7CE4" w:rsidRDefault="008743AF" w:rsidP="00DF7CE4">
      <w:pPr>
        <w:numPr>
          <w:ilvl w:val="0"/>
          <w:numId w:val="10"/>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правомощия за сезиране на Съда с иск за отмяна — компетентност, която Европейският парламент упражни, по-конкретно за да изиска и получи отмяна на някои членове от Директива 2005/85 относно минимални норми относно процедурата за предоставяне или отнемане на статут на бежанец в държавите членки</w:t>
      </w:r>
      <w:bookmarkStart w:id="1" w:name="_ftnref2"/>
      <w:r w:rsidR="007D397E" w:rsidRPr="00DF7CE4">
        <w:rPr>
          <w:rFonts w:ascii="Cambria" w:hAnsi="Cambria" w:cs="Arial"/>
          <w:sz w:val="24"/>
          <w:szCs w:val="24"/>
          <w:lang w:val="bg-BG"/>
        </w:rPr>
        <w:fldChar w:fldCharType="begin"/>
      </w:r>
      <w:r w:rsidRPr="00DF7CE4">
        <w:rPr>
          <w:rFonts w:ascii="Cambria" w:hAnsi="Cambria" w:cs="Arial"/>
          <w:sz w:val="24"/>
          <w:szCs w:val="24"/>
          <w:lang w:val="bg-BG"/>
        </w:rPr>
        <w:instrText xml:space="preserve"> HYPERLINK "http://www.europarl.europa.eu/aboutparliament/bg/displayFtu.html?ftuId=FTU_5.12.1.html" \l "_ftn2" </w:instrText>
      </w:r>
      <w:r w:rsidR="007D397E" w:rsidRPr="00DF7CE4">
        <w:rPr>
          <w:rFonts w:ascii="Cambria" w:hAnsi="Cambria" w:cs="Arial"/>
          <w:sz w:val="24"/>
          <w:szCs w:val="24"/>
          <w:lang w:val="bg-BG"/>
        </w:rPr>
        <w:fldChar w:fldCharType="separate"/>
      </w:r>
      <w:r w:rsidRPr="00DF7CE4">
        <w:rPr>
          <w:rStyle w:val="Hyperlink"/>
          <w:rFonts w:ascii="Cambria" w:hAnsi="Cambria" w:cs="Arial"/>
          <w:color w:val="auto"/>
          <w:sz w:val="24"/>
          <w:szCs w:val="24"/>
          <w:bdr w:val="none" w:sz="0" w:space="0" w:color="auto" w:frame="1"/>
          <w:lang w:val="bg-BG"/>
        </w:rPr>
        <w:t>[2]</w:t>
      </w:r>
      <w:r w:rsidR="007D397E" w:rsidRPr="00DF7CE4">
        <w:rPr>
          <w:rFonts w:ascii="Cambria" w:hAnsi="Cambria" w:cs="Arial"/>
          <w:sz w:val="24"/>
          <w:szCs w:val="24"/>
          <w:lang w:val="bg-BG"/>
        </w:rPr>
        <w:fldChar w:fldCharType="end"/>
      </w:r>
      <w:bookmarkEnd w:id="1"/>
      <w:r w:rsidRPr="00DF7CE4">
        <w:rPr>
          <w:rFonts w:ascii="Cambria" w:hAnsi="Cambria" w:cs="Arial"/>
          <w:sz w:val="24"/>
          <w:szCs w:val="24"/>
          <w:lang w:val="bg-BG"/>
        </w:rPr>
        <w:t>;</w:t>
      </w:r>
    </w:p>
    <w:p w:rsidR="008743AF" w:rsidRPr="00DF7CE4" w:rsidRDefault="008743AF" w:rsidP="00DF7CE4">
      <w:pPr>
        <w:numPr>
          <w:ilvl w:val="0"/>
          <w:numId w:val="10"/>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правомощия за политическа инициатива чрез приемането на доклади по собствена инициатива и резолюции по въпроси, по които Европейският парламент решава да се произнесе</w:t>
      </w:r>
      <w:bookmarkStart w:id="2" w:name="_ftnref3"/>
      <w:r w:rsidR="007D397E" w:rsidRPr="00DF7CE4">
        <w:rPr>
          <w:rFonts w:ascii="Cambria" w:hAnsi="Cambria" w:cs="Arial"/>
          <w:sz w:val="24"/>
          <w:szCs w:val="24"/>
          <w:lang w:val="bg-BG"/>
        </w:rPr>
        <w:fldChar w:fldCharType="begin"/>
      </w:r>
      <w:r w:rsidRPr="00DF7CE4">
        <w:rPr>
          <w:rFonts w:ascii="Cambria" w:hAnsi="Cambria" w:cs="Arial"/>
          <w:sz w:val="24"/>
          <w:szCs w:val="24"/>
          <w:lang w:val="bg-BG"/>
        </w:rPr>
        <w:instrText xml:space="preserve"> HYPERLINK "http://www.europarl.europa.eu/aboutparliament/bg/displayFtu.html?ftuId=FTU_5.12.1.html" \l "_ftn3" </w:instrText>
      </w:r>
      <w:r w:rsidR="007D397E" w:rsidRPr="00DF7CE4">
        <w:rPr>
          <w:rFonts w:ascii="Cambria" w:hAnsi="Cambria" w:cs="Arial"/>
          <w:sz w:val="24"/>
          <w:szCs w:val="24"/>
          <w:lang w:val="bg-BG"/>
        </w:rPr>
        <w:fldChar w:fldCharType="separate"/>
      </w:r>
      <w:r w:rsidRPr="00DF7CE4">
        <w:rPr>
          <w:rStyle w:val="Hyperlink"/>
          <w:rFonts w:ascii="Cambria" w:hAnsi="Cambria" w:cs="Arial"/>
          <w:color w:val="auto"/>
          <w:sz w:val="24"/>
          <w:szCs w:val="24"/>
          <w:bdr w:val="none" w:sz="0" w:space="0" w:color="auto" w:frame="1"/>
          <w:lang w:val="bg-BG"/>
        </w:rPr>
        <w:t>[3]</w:t>
      </w:r>
      <w:r w:rsidR="007D397E" w:rsidRPr="00DF7CE4">
        <w:rPr>
          <w:rFonts w:ascii="Cambria" w:hAnsi="Cambria" w:cs="Arial"/>
          <w:sz w:val="24"/>
          <w:szCs w:val="24"/>
          <w:lang w:val="bg-BG"/>
        </w:rPr>
        <w:fldChar w:fldCharType="end"/>
      </w:r>
      <w:bookmarkEnd w:id="2"/>
      <w:r w:rsidRPr="00DF7CE4">
        <w:rPr>
          <w:rFonts w:ascii="Cambria" w:hAnsi="Cambria" w:cs="Arial"/>
          <w:sz w:val="24"/>
          <w:szCs w:val="24"/>
          <w:lang w:val="bg-BG"/>
        </w:rPr>
        <w:t>;</w:t>
      </w:r>
    </w:p>
    <w:p w:rsidR="008743AF" w:rsidRPr="00DF7CE4" w:rsidRDefault="008743AF" w:rsidP="00DF7CE4">
      <w:pPr>
        <w:numPr>
          <w:ilvl w:val="0"/>
          <w:numId w:val="10"/>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възможност за изпращане на делегации в държавите членки за идентифициране на проблемите и в частност за проверка на условията за прилагане на законодателството, прието на равнище ЕС. Европейският парламент използва тази възможност във връзка с условията за приемането на лица, търсещи убежище, в някои държави членки</w:t>
      </w:r>
      <w:bookmarkStart w:id="3" w:name="_ftnref4"/>
      <w:r w:rsidR="007D397E" w:rsidRPr="00DF7CE4">
        <w:rPr>
          <w:rFonts w:ascii="Cambria" w:hAnsi="Cambria" w:cs="Arial"/>
          <w:sz w:val="24"/>
          <w:szCs w:val="24"/>
          <w:lang w:val="bg-BG"/>
        </w:rPr>
        <w:fldChar w:fldCharType="begin"/>
      </w:r>
      <w:r w:rsidRPr="00DF7CE4">
        <w:rPr>
          <w:rFonts w:ascii="Cambria" w:hAnsi="Cambria" w:cs="Arial"/>
          <w:sz w:val="24"/>
          <w:szCs w:val="24"/>
          <w:lang w:val="bg-BG"/>
        </w:rPr>
        <w:instrText xml:space="preserve"> HYPERLINK "http://www.europarl.europa.eu/aboutparliament/bg/displayFtu.html?ftuId=FTU_5.12.1.html" \l "_ftn4" </w:instrText>
      </w:r>
      <w:r w:rsidR="007D397E" w:rsidRPr="00DF7CE4">
        <w:rPr>
          <w:rFonts w:ascii="Cambria" w:hAnsi="Cambria" w:cs="Arial"/>
          <w:sz w:val="24"/>
          <w:szCs w:val="24"/>
          <w:lang w:val="bg-BG"/>
        </w:rPr>
        <w:fldChar w:fldCharType="separate"/>
      </w:r>
      <w:r w:rsidRPr="00DF7CE4">
        <w:rPr>
          <w:rStyle w:val="Hyperlink"/>
          <w:rFonts w:ascii="Cambria" w:hAnsi="Cambria" w:cs="Arial"/>
          <w:color w:val="auto"/>
          <w:sz w:val="24"/>
          <w:szCs w:val="24"/>
          <w:bdr w:val="none" w:sz="0" w:space="0" w:color="auto" w:frame="1"/>
          <w:lang w:val="bg-BG"/>
        </w:rPr>
        <w:t>[4]</w:t>
      </w:r>
      <w:r w:rsidR="007D397E" w:rsidRPr="00DF7CE4">
        <w:rPr>
          <w:rFonts w:ascii="Cambria" w:hAnsi="Cambria" w:cs="Arial"/>
          <w:sz w:val="24"/>
          <w:szCs w:val="24"/>
          <w:lang w:val="bg-BG"/>
        </w:rPr>
        <w:fldChar w:fldCharType="end"/>
      </w:r>
      <w:bookmarkEnd w:id="3"/>
      <w:r w:rsidRPr="00DF7CE4">
        <w:rPr>
          <w:rFonts w:ascii="Cambria" w:hAnsi="Cambria" w:cs="Arial"/>
          <w:sz w:val="24"/>
          <w:szCs w:val="24"/>
          <w:lang w:val="bg-BG"/>
        </w:rPr>
        <w:t>.</w:t>
      </w:r>
    </w:p>
    <w:p w:rsidR="008743AF" w:rsidRPr="00DF7CE4" w:rsidRDefault="008743AF" w:rsidP="00DF7CE4">
      <w:pPr>
        <w:pStyle w:val="NormalWeb"/>
        <w:shd w:val="clear" w:color="auto" w:fill="FFFFFF"/>
        <w:spacing w:before="0" w:beforeAutospacing="0" w:after="120" w:afterAutospacing="0"/>
        <w:ind w:left="709" w:hanging="425"/>
        <w:jc w:val="both"/>
        <w:textAlignment w:val="baseline"/>
        <w:rPr>
          <w:rFonts w:ascii="Cambria" w:hAnsi="Cambria" w:cs="Arial"/>
          <w:lang w:val="bg-BG"/>
        </w:rPr>
      </w:pPr>
      <w:r w:rsidRPr="00DF7CE4">
        <w:rPr>
          <w:rFonts w:ascii="Cambria" w:hAnsi="Cambria" w:cs="Arial"/>
          <w:lang w:val="bg-BG"/>
        </w:rPr>
        <w:t>Основните приоритети, върху които Европейският парламент постоянно акцентира през последните няколко години, могат да бъдат обобщени по следния начин:</w:t>
      </w:r>
    </w:p>
    <w:p w:rsidR="008743AF" w:rsidRPr="00DF7CE4" w:rsidRDefault="008743AF" w:rsidP="00DF7CE4">
      <w:pPr>
        <w:numPr>
          <w:ilvl w:val="0"/>
          <w:numId w:val="11"/>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признаване и отчитане на нарастващата значимост на ПССП в рамките на развитието на ЕС;</w:t>
      </w:r>
    </w:p>
    <w:p w:rsidR="008743AF" w:rsidRPr="00DF7CE4" w:rsidRDefault="008743AF" w:rsidP="00DF7CE4">
      <w:pPr>
        <w:numPr>
          <w:ilvl w:val="0"/>
          <w:numId w:val="11"/>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 xml:space="preserve">премахване на третия стълб и включване на областите на полицейското сътрудничество и съдебното сътрудничество по </w:t>
      </w:r>
      <w:proofErr w:type="spellStart"/>
      <w:r w:rsidRPr="00DF7CE4">
        <w:rPr>
          <w:rFonts w:ascii="Cambria" w:hAnsi="Cambria" w:cs="Arial"/>
          <w:sz w:val="24"/>
          <w:szCs w:val="24"/>
          <w:lang w:val="bg-BG"/>
        </w:rPr>
        <w:t>наказателноправни</w:t>
      </w:r>
      <w:proofErr w:type="spellEnd"/>
      <w:r w:rsidRPr="00DF7CE4">
        <w:rPr>
          <w:rFonts w:ascii="Cambria" w:hAnsi="Cambria" w:cs="Arial"/>
          <w:sz w:val="24"/>
          <w:szCs w:val="24"/>
          <w:lang w:val="bg-BG"/>
        </w:rPr>
        <w:t xml:space="preserve"> въпроси в обхвата на процедурите и законодателството на ЕС, за да се позволи на Европейския парламент да изпълнява пълноценно своята демократична роля в законодателния процес;</w:t>
      </w:r>
    </w:p>
    <w:p w:rsidR="008743AF" w:rsidRPr="00DF7CE4" w:rsidRDefault="008743AF" w:rsidP="00DF7CE4">
      <w:pPr>
        <w:numPr>
          <w:ilvl w:val="0"/>
          <w:numId w:val="11"/>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lastRenderedPageBreak/>
        <w:t>премахване на правилото за единодушие в рамките на Съвета с цел улесняване на вземането на решения;</w:t>
      </w:r>
    </w:p>
    <w:p w:rsidR="008743AF" w:rsidRPr="00DF7CE4" w:rsidRDefault="008743AF" w:rsidP="00DF7CE4">
      <w:pPr>
        <w:numPr>
          <w:ilvl w:val="0"/>
          <w:numId w:val="11"/>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поддържане на правилен баланс между защитата на основните права на гражданите и изискванията, свързани със сигурността и борбата с тероризма;</w:t>
      </w:r>
    </w:p>
    <w:p w:rsidR="008743AF" w:rsidRPr="00DF7CE4" w:rsidRDefault="008743AF" w:rsidP="00DF7CE4">
      <w:pPr>
        <w:numPr>
          <w:ilvl w:val="0"/>
          <w:numId w:val="11"/>
        </w:numPr>
        <w:shd w:val="clear" w:color="auto" w:fill="FFFFFF"/>
        <w:spacing w:after="120" w:line="240" w:lineRule="auto"/>
        <w:ind w:left="709" w:hanging="425"/>
        <w:jc w:val="both"/>
        <w:textAlignment w:val="baseline"/>
        <w:rPr>
          <w:rFonts w:ascii="Cambria" w:hAnsi="Cambria" w:cs="Arial"/>
          <w:sz w:val="24"/>
          <w:szCs w:val="24"/>
          <w:lang w:val="bg-BG"/>
        </w:rPr>
      </w:pPr>
      <w:r w:rsidRPr="00DF7CE4">
        <w:rPr>
          <w:rFonts w:ascii="Cambria" w:hAnsi="Cambria" w:cs="Arial"/>
          <w:sz w:val="24"/>
          <w:szCs w:val="24"/>
          <w:lang w:val="bg-BG"/>
        </w:rPr>
        <w:t>засилване на защитата и утвърждаването на основните права, по-конкретно чрез приемането на правно задължителна Харта на основните права на ЕС, както и чрез създаването на Агенция за основните права, която представлява ефикасен инструмент за съдействие и експертен опит в областта на основните права.</w:t>
      </w:r>
    </w:p>
    <w:bookmarkStart w:id="4" w:name="_ftn1"/>
    <w:p w:rsidR="008743AF" w:rsidRPr="00DF7CE4" w:rsidRDefault="007D397E" w:rsidP="00DF7CE4">
      <w:pPr>
        <w:pStyle w:val="ftu-footnote"/>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fldChar w:fldCharType="begin"/>
      </w:r>
      <w:r w:rsidR="008743AF" w:rsidRPr="00DF7CE4">
        <w:rPr>
          <w:rFonts w:ascii="Cambria" w:hAnsi="Cambria" w:cs="Arial"/>
        </w:rPr>
        <w:instrText xml:space="preserve"> HYPERLINK "http://www.europarl.europa.eu/aboutparliament/bg/displayFtu.html?ftuId=FTU_5.12.1.html" \l "_ftnref1" </w:instrText>
      </w:r>
      <w:r w:rsidRPr="00DF7CE4">
        <w:rPr>
          <w:rFonts w:ascii="Cambria" w:hAnsi="Cambria" w:cs="Arial"/>
        </w:rPr>
        <w:fldChar w:fldCharType="separate"/>
      </w:r>
      <w:r w:rsidR="008743AF" w:rsidRPr="00DF7CE4">
        <w:rPr>
          <w:rStyle w:val="Hyperlink"/>
          <w:rFonts w:ascii="Cambria" w:hAnsi="Cambria" w:cs="Arial"/>
          <w:color w:val="auto"/>
          <w:bdr w:val="none" w:sz="0" w:space="0" w:color="auto" w:frame="1"/>
        </w:rPr>
        <w:t>[1]</w:t>
      </w:r>
      <w:proofErr w:type="spellStart"/>
      <w:r w:rsidRPr="00DF7CE4">
        <w:rPr>
          <w:rFonts w:ascii="Cambria" w:hAnsi="Cambria" w:cs="Arial"/>
        </w:rPr>
        <w:fldChar w:fldCharType="end"/>
      </w:r>
      <w:bookmarkEnd w:id="4"/>
      <w:r w:rsidR="008743AF" w:rsidRPr="00DF7CE4">
        <w:rPr>
          <w:rFonts w:ascii="Cambria" w:hAnsi="Cambria" w:cs="Arial"/>
        </w:rPr>
        <w:t>Вж</w:t>
      </w:r>
      <w:proofErr w:type="spellEnd"/>
      <w:r w:rsidR="008743AF" w:rsidRPr="00DF7CE4">
        <w:rPr>
          <w:rFonts w:ascii="Cambria" w:hAnsi="Cambria" w:cs="Arial"/>
        </w:rPr>
        <w:t>.</w:t>
      </w:r>
      <w:r w:rsidR="008743AF" w:rsidRPr="00DF7CE4">
        <w:rPr>
          <w:rStyle w:val="apple-converted-space"/>
          <w:rFonts w:ascii="Cambria" w:hAnsi="Cambria" w:cs="Arial"/>
        </w:rPr>
        <w:t> </w:t>
      </w:r>
      <w:hyperlink r:id="rId8" w:tooltip="5.12.2" w:history="1">
        <w:r w:rsidR="008743AF" w:rsidRPr="00DF7CE4">
          <w:rPr>
            <w:rStyle w:val="Hyperlink"/>
            <w:rFonts w:ascii="Cambria" w:hAnsi="Cambria" w:cs="Arial"/>
            <w:color w:val="auto"/>
            <w:bdr w:val="none" w:sz="0" w:space="0" w:color="auto" w:frame="1"/>
          </w:rPr>
          <w:t>5.12.2</w:t>
        </w:r>
      </w:hyperlink>
      <w:r w:rsidR="008743AF" w:rsidRPr="00DF7CE4">
        <w:rPr>
          <w:rFonts w:ascii="Cambria" w:hAnsi="Cambria" w:cs="Arial"/>
        </w:rPr>
        <w:t>,</w:t>
      </w:r>
      <w:r w:rsidR="008743AF" w:rsidRPr="00DF7CE4">
        <w:rPr>
          <w:rStyle w:val="apple-converted-space"/>
          <w:rFonts w:ascii="Cambria" w:hAnsi="Cambria" w:cs="Arial"/>
        </w:rPr>
        <w:t> </w:t>
      </w:r>
      <w:hyperlink r:id="rId9" w:tooltip="5.12.3" w:history="1">
        <w:r w:rsidR="008743AF" w:rsidRPr="00DF7CE4">
          <w:rPr>
            <w:rStyle w:val="Hyperlink"/>
            <w:rFonts w:ascii="Cambria" w:hAnsi="Cambria" w:cs="Arial"/>
            <w:color w:val="auto"/>
            <w:bdr w:val="none" w:sz="0" w:space="0" w:color="auto" w:frame="1"/>
          </w:rPr>
          <w:t>5.12.3</w:t>
        </w:r>
      </w:hyperlink>
      <w:r w:rsidR="008743AF" w:rsidRPr="00DF7CE4">
        <w:rPr>
          <w:rFonts w:ascii="Cambria" w:hAnsi="Cambria" w:cs="Arial"/>
        </w:rPr>
        <w:t>,</w:t>
      </w:r>
      <w:r w:rsidR="008743AF" w:rsidRPr="00DF7CE4">
        <w:rPr>
          <w:rStyle w:val="apple-converted-space"/>
          <w:rFonts w:ascii="Cambria" w:hAnsi="Cambria" w:cs="Arial"/>
        </w:rPr>
        <w:t> </w:t>
      </w:r>
      <w:hyperlink r:id="rId10" w:tooltip="5.12.4" w:history="1">
        <w:r w:rsidR="008743AF" w:rsidRPr="00DF7CE4">
          <w:rPr>
            <w:rStyle w:val="Hyperlink"/>
            <w:rFonts w:ascii="Cambria" w:hAnsi="Cambria" w:cs="Arial"/>
            <w:color w:val="auto"/>
            <w:bdr w:val="none" w:sz="0" w:space="0" w:color="auto" w:frame="1"/>
          </w:rPr>
          <w:t>5.12.4</w:t>
        </w:r>
      </w:hyperlink>
      <w:r w:rsidR="008743AF" w:rsidRPr="00DF7CE4">
        <w:rPr>
          <w:rFonts w:ascii="Cambria" w:hAnsi="Cambria" w:cs="Arial"/>
        </w:rPr>
        <w:t>,</w:t>
      </w:r>
      <w:r w:rsidR="008743AF" w:rsidRPr="00DF7CE4">
        <w:rPr>
          <w:rStyle w:val="apple-converted-space"/>
          <w:rFonts w:ascii="Cambria" w:hAnsi="Cambria" w:cs="Arial"/>
        </w:rPr>
        <w:t> </w:t>
      </w:r>
      <w:hyperlink r:id="rId11" w:tooltip="5.12.6" w:history="1">
        <w:r w:rsidR="008743AF" w:rsidRPr="00DF7CE4">
          <w:rPr>
            <w:rStyle w:val="Hyperlink"/>
            <w:rFonts w:ascii="Cambria" w:hAnsi="Cambria" w:cs="Arial"/>
            <w:color w:val="auto"/>
            <w:bdr w:val="none" w:sz="0" w:space="0" w:color="auto" w:frame="1"/>
          </w:rPr>
          <w:t>5.12.6</w:t>
        </w:r>
      </w:hyperlink>
      <w:r w:rsidR="008743AF" w:rsidRPr="00DF7CE4">
        <w:rPr>
          <w:rFonts w:ascii="Cambria" w:hAnsi="Cambria" w:cs="Arial"/>
        </w:rPr>
        <w:t>,</w:t>
      </w:r>
      <w:r w:rsidR="008743AF" w:rsidRPr="00DF7CE4">
        <w:rPr>
          <w:rStyle w:val="apple-converted-space"/>
          <w:rFonts w:ascii="Cambria" w:hAnsi="Cambria" w:cs="Arial"/>
        </w:rPr>
        <w:t> </w:t>
      </w:r>
      <w:hyperlink r:id="rId12" w:tooltip="5.12.7." w:history="1">
        <w:r w:rsidR="008743AF" w:rsidRPr="00DF7CE4">
          <w:rPr>
            <w:rStyle w:val="Hyperlink"/>
            <w:rFonts w:ascii="Cambria" w:hAnsi="Cambria" w:cs="Arial"/>
            <w:color w:val="auto"/>
            <w:bdr w:val="none" w:sz="0" w:space="0" w:color="auto" w:frame="1"/>
          </w:rPr>
          <w:t>5.12.7.</w:t>
        </w:r>
      </w:hyperlink>
    </w:p>
    <w:bookmarkStart w:id="5" w:name="_ftn2"/>
    <w:p w:rsidR="008743AF" w:rsidRPr="00DF7CE4" w:rsidRDefault="007D397E" w:rsidP="00DF7CE4">
      <w:pPr>
        <w:pStyle w:val="ftu-footnote"/>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fldChar w:fldCharType="begin"/>
      </w:r>
      <w:r w:rsidR="008743AF" w:rsidRPr="00DF7CE4">
        <w:rPr>
          <w:rFonts w:ascii="Cambria" w:hAnsi="Cambria" w:cs="Arial"/>
        </w:rPr>
        <w:instrText xml:space="preserve"> HYPERLINK "http://www.europarl.europa.eu/aboutparliament/bg/displayFtu.html?ftuId=FTU_5.12.1.html" \l "_ftnref2" </w:instrText>
      </w:r>
      <w:r w:rsidRPr="00DF7CE4">
        <w:rPr>
          <w:rFonts w:ascii="Cambria" w:hAnsi="Cambria" w:cs="Arial"/>
        </w:rPr>
        <w:fldChar w:fldCharType="separate"/>
      </w:r>
      <w:r w:rsidR="008743AF" w:rsidRPr="00DF7CE4">
        <w:rPr>
          <w:rStyle w:val="Hyperlink"/>
          <w:rFonts w:ascii="Cambria" w:hAnsi="Cambria" w:cs="Arial"/>
          <w:color w:val="auto"/>
          <w:bdr w:val="none" w:sz="0" w:space="0" w:color="auto" w:frame="1"/>
        </w:rPr>
        <w:t>[2</w:t>
      </w:r>
      <w:proofErr w:type="gramStart"/>
      <w:r w:rsidR="008743AF" w:rsidRPr="00DF7CE4">
        <w:rPr>
          <w:rStyle w:val="Hyperlink"/>
          <w:rFonts w:ascii="Cambria" w:hAnsi="Cambria" w:cs="Arial"/>
          <w:color w:val="auto"/>
          <w:bdr w:val="none" w:sz="0" w:space="0" w:color="auto" w:frame="1"/>
        </w:rPr>
        <w:t>]</w:t>
      </w:r>
      <w:proofErr w:type="gramEnd"/>
      <w:r w:rsidRPr="00DF7CE4">
        <w:rPr>
          <w:rFonts w:ascii="Cambria" w:hAnsi="Cambria" w:cs="Arial"/>
        </w:rPr>
        <w:fldChar w:fldCharType="end"/>
      </w:r>
      <w:bookmarkEnd w:id="5"/>
      <w:r w:rsidR="008743AF" w:rsidRPr="00DF7CE4">
        <w:rPr>
          <w:rFonts w:ascii="Cambria" w:hAnsi="Cambria" w:cs="Arial"/>
        </w:rPr>
        <w:t xml:space="preserve">СЕС, </w:t>
      </w:r>
      <w:proofErr w:type="spellStart"/>
      <w:r w:rsidR="008743AF" w:rsidRPr="00DF7CE4">
        <w:rPr>
          <w:rFonts w:ascii="Cambria" w:hAnsi="Cambria" w:cs="Arial"/>
        </w:rPr>
        <w:t>Решение</w:t>
      </w:r>
      <w:proofErr w:type="spellEnd"/>
      <w:r w:rsidR="008743AF" w:rsidRPr="00DF7CE4">
        <w:rPr>
          <w:rFonts w:ascii="Cambria" w:hAnsi="Cambria" w:cs="Arial"/>
        </w:rPr>
        <w:t xml:space="preserve"> </w:t>
      </w:r>
      <w:proofErr w:type="spellStart"/>
      <w:r w:rsidR="008743AF" w:rsidRPr="00DF7CE4">
        <w:rPr>
          <w:rFonts w:ascii="Cambria" w:hAnsi="Cambria" w:cs="Arial"/>
        </w:rPr>
        <w:t>от</w:t>
      </w:r>
      <w:proofErr w:type="spellEnd"/>
      <w:r w:rsidR="008743AF" w:rsidRPr="00DF7CE4">
        <w:rPr>
          <w:rFonts w:ascii="Cambria" w:hAnsi="Cambria" w:cs="Arial"/>
        </w:rPr>
        <w:t xml:space="preserve"> 6.5.2008 г., дело C-133/06.</w:t>
      </w:r>
    </w:p>
    <w:bookmarkStart w:id="6" w:name="_ftn3"/>
    <w:p w:rsidR="008743AF" w:rsidRPr="00DF7CE4" w:rsidRDefault="007D397E" w:rsidP="00DF7CE4">
      <w:pPr>
        <w:pStyle w:val="ftu-footnote"/>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fldChar w:fldCharType="begin"/>
      </w:r>
      <w:r w:rsidR="008743AF" w:rsidRPr="00DF7CE4">
        <w:rPr>
          <w:rFonts w:ascii="Cambria" w:hAnsi="Cambria" w:cs="Arial"/>
        </w:rPr>
        <w:instrText xml:space="preserve"> HYPERLINK "http://www.europarl.europa.eu/aboutparliament/bg/displayFtu.html?ftuId=FTU_5.12.1.html" \l "_ftnref3" </w:instrText>
      </w:r>
      <w:r w:rsidRPr="00DF7CE4">
        <w:rPr>
          <w:rFonts w:ascii="Cambria" w:hAnsi="Cambria" w:cs="Arial"/>
        </w:rPr>
        <w:fldChar w:fldCharType="separate"/>
      </w:r>
      <w:r w:rsidR="008743AF" w:rsidRPr="00DF7CE4">
        <w:rPr>
          <w:rStyle w:val="Hyperlink"/>
          <w:rFonts w:ascii="Cambria" w:hAnsi="Cambria" w:cs="Arial"/>
          <w:color w:val="auto"/>
          <w:bdr w:val="none" w:sz="0" w:space="0" w:color="auto" w:frame="1"/>
        </w:rPr>
        <w:t>[3</w:t>
      </w:r>
      <w:proofErr w:type="gramStart"/>
      <w:r w:rsidR="008743AF" w:rsidRPr="00DF7CE4">
        <w:rPr>
          <w:rStyle w:val="Hyperlink"/>
          <w:rFonts w:ascii="Cambria" w:hAnsi="Cambria" w:cs="Arial"/>
          <w:color w:val="auto"/>
          <w:bdr w:val="none" w:sz="0" w:space="0" w:color="auto" w:frame="1"/>
        </w:rPr>
        <w:t>]</w:t>
      </w:r>
      <w:proofErr w:type="spellStart"/>
      <w:proofErr w:type="gramEnd"/>
      <w:r w:rsidRPr="00DF7CE4">
        <w:rPr>
          <w:rFonts w:ascii="Cambria" w:hAnsi="Cambria" w:cs="Arial"/>
        </w:rPr>
        <w:fldChar w:fldCharType="end"/>
      </w:r>
      <w:bookmarkEnd w:id="6"/>
      <w:r w:rsidR="008743AF" w:rsidRPr="00DF7CE4">
        <w:rPr>
          <w:rFonts w:ascii="Cambria" w:hAnsi="Cambria" w:cs="Arial"/>
        </w:rPr>
        <w:t>Например</w:t>
      </w:r>
      <w:proofErr w:type="spellEnd"/>
      <w:r w:rsidR="008743AF" w:rsidRPr="00DF7CE4">
        <w:rPr>
          <w:rFonts w:ascii="Cambria" w:hAnsi="Cambria" w:cs="Arial"/>
        </w:rPr>
        <w:t xml:space="preserve">, </w:t>
      </w:r>
      <w:proofErr w:type="spellStart"/>
      <w:r w:rsidR="008743AF" w:rsidRPr="00DF7CE4">
        <w:rPr>
          <w:rFonts w:ascii="Cambria" w:hAnsi="Cambria" w:cs="Arial"/>
        </w:rPr>
        <w:t>резолюция</w:t>
      </w:r>
      <w:proofErr w:type="spellEnd"/>
      <w:r w:rsidR="008743AF" w:rsidRPr="00DF7CE4">
        <w:rPr>
          <w:rFonts w:ascii="Cambria" w:hAnsi="Cambria" w:cs="Arial"/>
        </w:rPr>
        <w:t xml:space="preserve"> </w:t>
      </w:r>
      <w:proofErr w:type="spellStart"/>
      <w:r w:rsidR="008743AF" w:rsidRPr="00DF7CE4">
        <w:rPr>
          <w:rFonts w:ascii="Cambria" w:hAnsi="Cambria" w:cs="Arial"/>
        </w:rPr>
        <w:t>относно</w:t>
      </w:r>
      <w:proofErr w:type="spellEnd"/>
      <w:r w:rsidR="008743AF" w:rsidRPr="00DF7CE4">
        <w:rPr>
          <w:rFonts w:ascii="Cambria" w:hAnsi="Cambria" w:cs="Arial"/>
        </w:rPr>
        <w:t xml:space="preserve"> </w:t>
      </w:r>
      <w:proofErr w:type="spellStart"/>
      <w:r w:rsidR="008743AF" w:rsidRPr="00DF7CE4">
        <w:rPr>
          <w:rFonts w:ascii="Cambria" w:hAnsi="Cambria" w:cs="Arial"/>
        </w:rPr>
        <w:t>хомофобията</w:t>
      </w:r>
      <w:proofErr w:type="spellEnd"/>
      <w:r w:rsidR="008743AF" w:rsidRPr="00DF7CE4">
        <w:rPr>
          <w:rFonts w:ascii="Cambria" w:hAnsi="Cambria" w:cs="Arial"/>
        </w:rPr>
        <w:t xml:space="preserve"> в Европа, 18.1.2006 г.</w:t>
      </w:r>
    </w:p>
    <w:bookmarkStart w:id="7" w:name="_ftn4"/>
    <w:p w:rsidR="008743AF" w:rsidRPr="00DF7CE4" w:rsidRDefault="007D397E" w:rsidP="00DF7CE4">
      <w:pPr>
        <w:pStyle w:val="ftu-footnote"/>
        <w:shd w:val="clear" w:color="auto" w:fill="FFFFFF"/>
        <w:spacing w:before="0" w:beforeAutospacing="0" w:after="120" w:afterAutospacing="0"/>
        <w:jc w:val="both"/>
        <w:textAlignment w:val="baseline"/>
        <w:rPr>
          <w:rFonts w:ascii="Cambria" w:hAnsi="Cambria" w:cs="Arial"/>
        </w:rPr>
      </w:pPr>
      <w:r w:rsidRPr="00DF7CE4">
        <w:rPr>
          <w:rFonts w:ascii="Cambria" w:hAnsi="Cambria" w:cs="Arial"/>
        </w:rPr>
        <w:fldChar w:fldCharType="begin"/>
      </w:r>
      <w:r w:rsidR="008743AF" w:rsidRPr="00DF7CE4">
        <w:rPr>
          <w:rFonts w:ascii="Cambria" w:hAnsi="Cambria" w:cs="Arial"/>
        </w:rPr>
        <w:instrText xml:space="preserve"> HYPERLINK "http://www.europarl.europa.eu/aboutparliament/bg/displayFtu.html?ftuId=FTU_5.12.1.html" \l "_ftnref4" </w:instrText>
      </w:r>
      <w:r w:rsidRPr="00DF7CE4">
        <w:rPr>
          <w:rFonts w:ascii="Cambria" w:hAnsi="Cambria" w:cs="Arial"/>
        </w:rPr>
        <w:fldChar w:fldCharType="separate"/>
      </w:r>
      <w:r w:rsidR="008743AF" w:rsidRPr="00DF7CE4">
        <w:rPr>
          <w:rStyle w:val="Hyperlink"/>
          <w:rFonts w:ascii="Cambria" w:hAnsi="Cambria" w:cs="Arial"/>
          <w:color w:val="auto"/>
          <w:bdr w:val="none" w:sz="0" w:space="0" w:color="auto" w:frame="1"/>
        </w:rPr>
        <w:t>[4</w:t>
      </w:r>
      <w:proofErr w:type="gramStart"/>
      <w:r w:rsidR="008743AF" w:rsidRPr="00DF7CE4">
        <w:rPr>
          <w:rStyle w:val="Hyperlink"/>
          <w:rFonts w:ascii="Cambria" w:hAnsi="Cambria" w:cs="Arial"/>
          <w:color w:val="auto"/>
          <w:bdr w:val="none" w:sz="0" w:space="0" w:color="auto" w:frame="1"/>
        </w:rPr>
        <w:t>]</w:t>
      </w:r>
      <w:proofErr w:type="spellStart"/>
      <w:proofErr w:type="gramEnd"/>
      <w:r w:rsidRPr="00DF7CE4">
        <w:rPr>
          <w:rFonts w:ascii="Cambria" w:hAnsi="Cambria" w:cs="Arial"/>
        </w:rPr>
        <w:fldChar w:fldCharType="end"/>
      </w:r>
      <w:bookmarkEnd w:id="7"/>
      <w:r w:rsidR="008743AF" w:rsidRPr="00DF7CE4">
        <w:rPr>
          <w:rFonts w:ascii="Cambria" w:hAnsi="Cambria" w:cs="Arial"/>
        </w:rPr>
        <w:t>Резолюция</w:t>
      </w:r>
      <w:proofErr w:type="spellEnd"/>
      <w:r w:rsidR="008743AF" w:rsidRPr="00DF7CE4">
        <w:rPr>
          <w:rFonts w:ascii="Cambria" w:hAnsi="Cambria" w:cs="Arial"/>
        </w:rPr>
        <w:t xml:space="preserve"> </w:t>
      </w:r>
      <w:proofErr w:type="spellStart"/>
      <w:r w:rsidR="008743AF" w:rsidRPr="00DF7CE4">
        <w:rPr>
          <w:rFonts w:ascii="Cambria" w:hAnsi="Cambria" w:cs="Arial"/>
        </w:rPr>
        <w:t>от</w:t>
      </w:r>
      <w:proofErr w:type="spellEnd"/>
      <w:r w:rsidR="008743AF" w:rsidRPr="00DF7CE4">
        <w:rPr>
          <w:rFonts w:ascii="Cambria" w:hAnsi="Cambria" w:cs="Arial"/>
        </w:rPr>
        <w:t xml:space="preserve"> 5.2.2009 г.</w:t>
      </w:r>
    </w:p>
    <w:p w:rsidR="008743AF" w:rsidRPr="00DF7CE4" w:rsidRDefault="008743AF" w:rsidP="00DF7CE4">
      <w:pPr>
        <w:pStyle w:val="NormalWeb"/>
        <w:shd w:val="clear" w:color="auto" w:fill="FFFFFF"/>
        <w:spacing w:before="0" w:beforeAutospacing="0" w:after="120" w:afterAutospacing="0"/>
        <w:jc w:val="both"/>
        <w:textAlignment w:val="baseline"/>
        <w:rPr>
          <w:rFonts w:ascii="Cambria" w:hAnsi="Cambria" w:cs="Arial"/>
          <w:b/>
          <w:bCs/>
        </w:rPr>
      </w:pPr>
      <w:r w:rsidRPr="00DF7CE4">
        <w:rPr>
          <w:rFonts w:ascii="Cambria" w:hAnsi="Cambria" w:cs="Arial"/>
          <w:b/>
          <w:bCs/>
        </w:rPr>
        <w:t>Sarah Sy, 02/2014</w:t>
      </w:r>
    </w:p>
    <w:p w:rsidR="008743AF" w:rsidRPr="00DF7CE4" w:rsidRDefault="008743AF" w:rsidP="00DF7CE4">
      <w:pPr>
        <w:spacing w:after="120" w:line="240" w:lineRule="auto"/>
        <w:jc w:val="both"/>
        <w:rPr>
          <w:rFonts w:ascii="Cambria" w:hAnsi="Cambria" w:cs="Arial"/>
          <w:b/>
          <w:sz w:val="24"/>
          <w:szCs w:val="24"/>
        </w:rPr>
      </w:pPr>
    </w:p>
    <w:p w:rsidR="008743AF" w:rsidRPr="00DF7CE4" w:rsidRDefault="008743AF" w:rsidP="00DF7CE4">
      <w:pPr>
        <w:shd w:val="clear" w:color="auto" w:fill="FFFFFF"/>
        <w:spacing w:after="120" w:line="240" w:lineRule="auto"/>
        <w:jc w:val="both"/>
        <w:outlineLvl w:val="2"/>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Политика в областта на убежището</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Политиката в областта на убежището цели да хармонизира процедурите на държавите членки в областта на убежището, като установява обща система за предоставяне на убежище. Договорът от Лисабон внася важни изменения. Прилагането му се уточнява в програмата от Стокхолм.</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Правно основание</w:t>
      </w:r>
    </w:p>
    <w:p w:rsidR="008743AF" w:rsidRPr="00DF7CE4" w:rsidRDefault="008743AF" w:rsidP="00DF7CE4">
      <w:pPr>
        <w:numPr>
          <w:ilvl w:val="0"/>
          <w:numId w:val="12"/>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Член 67, параграф 2 и член 78 от ДФЕС;</w:t>
      </w:r>
    </w:p>
    <w:p w:rsidR="008743AF" w:rsidRPr="00DF7CE4" w:rsidRDefault="008743AF" w:rsidP="00DF7CE4">
      <w:pPr>
        <w:numPr>
          <w:ilvl w:val="0"/>
          <w:numId w:val="12"/>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Член 18 от Хартата на основните права на ЕС.</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Цели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Развитието на обща политика в областта на убежището, </w:t>
      </w:r>
      <w:proofErr w:type="spellStart"/>
      <w:r w:rsidRPr="00DF7CE4">
        <w:rPr>
          <w:rFonts w:ascii="Cambria" w:eastAsia="Times New Roman" w:hAnsi="Cambria" w:cs="Arial"/>
          <w:sz w:val="24"/>
          <w:szCs w:val="24"/>
          <w:lang w:val="bg-BG" w:eastAsia="fr-FR"/>
        </w:rPr>
        <w:t>субсидиарната</w:t>
      </w:r>
      <w:proofErr w:type="spellEnd"/>
      <w:r w:rsidRPr="00DF7CE4">
        <w:rPr>
          <w:rFonts w:ascii="Cambria" w:eastAsia="Times New Roman" w:hAnsi="Cambria" w:cs="Arial"/>
          <w:sz w:val="24"/>
          <w:szCs w:val="24"/>
          <w:lang w:val="bg-BG" w:eastAsia="fr-FR"/>
        </w:rPr>
        <w:t xml:space="preserve"> закрила и временната закрила, чиято цел е да предостави подходящ статут на всеки гражданин на трета страна, който се нуждае от международна закрила, както и да гарантира зачитането на принципа на забрана за връщане. Тази политика трябва да съответства на Женевската конвенция от 1951 г. и на Протокола от 1967 г. Нито Договорът, нито Хартата дават определение на понятията „убежище“ и „бежанец“. И двата инструмента се позовават изрично на Женевската конвенция от 28 юли 1951 г. и на Протокола от 31 януари 1967 г.</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Постижения</w:t>
      </w:r>
    </w:p>
    <w:p w:rsidR="008743AF" w:rsidRPr="00DF7CE4" w:rsidRDefault="008743AF" w:rsidP="00DF7CE4">
      <w:pPr>
        <w:shd w:val="clear" w:color="auto" w:fill="FFFFFF"/>
        <w:spacing w:after="120" w:line="240" w:lineRule="auto"/>
        <w:jc w:val="both"/>
        <w:outlineLvl w:val="4"/>
        <w:rPr>
          <w:rFonts w:ascii="Cambria" w:eastAsia="Times New Roman" w:hAnsi="Cambria" w:cs="Arial"/>
          <w:sz w:val="24"/>
          <w:szCs w:val="24"/>
          <w:lang w:val="bg-BG" w:eastAsia="fr-FR"/>
        </w:rPr>
      </w:pPr>
      <w:r w:rsidRPr="00DF7CE4">
        <w:rPr>
          <w:rFonts w:ascii="Cambria" w:eastAsia="Times New Roman" w:hAnsi="Cambria" w:cs="Arial"/>
          <w:b/>
          <w:bCs/>
          <w:caps/>
          <w:sz w:val="24"/>
          <w:szCs w:val="24"/>
          <w:lang w:val="bg-BG" w:eastAsia="fr-FR"/>
        </w:rPr>
        <w:t xml:space="preserve">а. </w:t>
      </w:r>
      <w:r w:rsidRPr="00DF7CE4">
        <w:rPr>
          <w:rFonts w:ascii="Cambria" w:eastAsia="Times New Roman" w:hAnsi="Cambria" w:cs="Arial"/>
          <w:sz w:val="24"/>
          <w:szCs w:val="24"/>
          <w:lang w:val="bg-BG" w:eastAsia="fr-FR"/>
        </w:rPr>
        <w:t>Приносът на Договорите от Амстердам и Ница</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През 1999 г. Договорът от Амстердам предостави на институциите на ЕС нови правомощия за разработването на законодателство в областта на убежището съгласно конкретен институционален механизъм.</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През 2001 г. Договорът от Ница предвиди, в рамките на петте години след влизането му в сила, Съветът да приеме мерки в някои области, по-конкретно по </w:t>
      </w:r>
      <w:r w:rsidRPr="00DF7CE4">
        <w:rPr>
          <w:rFonts w:ascii="Cambria" w:eastAsia="Times New Roman" w:hAnsi="Cambria" w:cs="Arial"/>
          <w:sz w:val="24"/>
          <w:szCs w:val="24"/>
          <w:lang w:val="bg-BG" w:eastAsia="fr-FR"/>
        </w:rPr>
        <w:lastRenderedPageBreak/>
        <w:t>отношение на критериите и механизмите за определяне на държавата членка, компетентна за разглеждането на молба за убежище, която е подадена в една от държавите членки от гражданин на трета страна, както и някои минимални стандарти (приемане на лица, търсещи убежище, статут на бежанците, процедури).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Съгласно Договора Съветът взема решенията си с единодушие след обикновена консултация с Европейския парламент, за да определи общите правила и основните принципи в тази област. Договорът предвижда, че след приключването на тази първа фаза Съветът може да реши, че ще се прилага обикновената процедура за съвместно вземане на решения, като оттук нататък Съветът ще приема решенията си с квалифицирано мнозинство. Съветът взе това решение в края на 2004 г., а процедурата за съвместно вземане на решения се прилага, считано от 2005 г.</w:t>
      </w:r>
    </w:p>
    <w:p w:rsidR="008743AF" w:rsidRPr="00DF7CE4" w:rsidRDefault="008743AF" w:rsidP="00DF7CE4">
      <w:pPr>
        <w:shd w:val="clear" w:color="auto" w:fill="FFFFFF"/>
        <w:spacing w:after="120" w:line="240" w:lineRule="auto"/>
        <w:jc w:val="both"/>
        <w:outlineLvl w:val="4"/>
        <w:rPr>
          <w:rFonts w:ascii="Cambria" w:eastAsia="Times New Roman" w:hAnsi="Cambria" w:cs="Arial"/>
          <w:sz w:val="24"/>
          <w:szCs w:val="24"/>
          <w:lang w:val="bg-BG" w:eastAsia="fr-FR"/>
        </w:rPr>
      </w:pPr>
      <w:r w:rsidRPr="00DF7CE4">
        <w:rPr>
          <w:rFonts w:ascii="Cambria" w:eastAsia="Times New Roman" w:hAnsi="Cambria" w:cs="Arial"/>
          <w:b/>
          <w:bCs/>
          <w:caps/>
          <w:sz w:val="24"/>
          <w:szCs w:val="24"/>
          <w:lang w:val="bg-BG" w:eastAsia="fr-FR"/>
        </w:rPr>
        <w:t xml:space="preserve">б. </w:t>
      </w:r>
      <w:r w:rsidRPr="00DF7CE4">
        <w:rPr>
          <w:rFonts w:ascii="Cambria" w:eastAsia="Times New Roman" w:hAnsi="Cambria" w:cs="Arial"/>
          <w:sz w:val="24"/>
          <w:szCs w:val="24"/>
          <w:lang w:val="bg-BG" w:eastAsia="fr-FR"/>
        </w:rPr>
        <w:t>Договорът от Лисабон</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Договорът представлява крачка напред с това, че превръща мерките в областта на убежището в обща политика. Целта му вече не е просто да установи минимални стандарти, а да създаде обща система, включваща единни статути и процедури.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Общата европейска система за предоставяне на убежище трябва да включва следните елементи:</w:t>
      </w:r>
    </w:p>
    <w:p w:rsidR="008743AF" w:rsidRPr="00DF7CE4" w:rsidRDefault="008743AF" w:rsidP="00DF7CE4">
      <w:pPr>
        <w:numPr>
          <w:ilvl w:val="0"/>
          <w:numId w:val="13"/>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единен статут на бежанец,</w:t>
      </w:r>
    </w:p>
    <w:p w:rsidR="008743AF" w:rsidRPr="00DF7CE4" w:rsidRDefault="008743AF" w:rsidP="00DF7CE4">
      <w:pPr>
        <w:numPr>
          <w:ilvl w:val="0"/>
          <w:numId w:val="13"/>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единен статут на </w:t>
      </w:r>
      <w:proofErr w:type="spellStart"/>
      <w:r w:rsidRPr="00DF7CE4">
        <w:rPr>
          <w:rFonts w:ascii="Cambria" w:eastAsia="Times New Roman" w:hAnsi="Cambria" w:cs="Arial"/>
          <w:sz w:val="24"/>
          <w:szCs w:val="24"/>
          <w:lang w:val="bg-BG" w:eastAsia="fr-FR"/>
        </w:rPr>
        <w:t>субсидиарна</w:t>
      </w:r>
      <w:proofErr w:type="spellEnd"/>
      <w:r w:rsidRPr="00DF7CE4">
        <w:rPr>
          <w:rFonts w:ascii="Cambria" w:eastAsia="Times New Roman" w:hAnsi="Cambria" w:cs="Arial"/>
          <w:sz w:val="24"/>
          <w:szCs w:val="24"/>
          <w:lang w:val="bg-BG" w:eastAsia="fr-FR"/>
        </w:rPr>
        <w:t xml:space="preserve"> закрила,</w:t>
      </w:r>
    </w:p>
    <w:p w:rsidR="008743AF" w:rsidRPr="00DF7CE4" w:rsidRDefault="008743AF" w:rsidP="00DF7CE4">
      <w:pPr>
        <w:numPr>
          <w:ilvl w:val="0"/>
          <w:numId w:val="13"/>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обща система за временна закрила,</w:t>
      </w:r>
    </w:p>
    <w:p w:rsidR="008743AF" w:rsidRPr="00DF7CE4" w:rsidRDefault="008743AF" w:rsidP="00DF7CE4">
      <w:pPr>
        <w:numPr>
          <w:ilvl w:val="0"/>
          <w:numId w:val="13"/>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общи процедури за предоставяне или отнемане на статута на бежанец или на </w:t>
      </w:r>
      <w:proofErr w:type="spellStart"/>
      <w:r w:rsidRPr="00DF7CE4">
        <w:rPr>
          <w:rFonts w:ascii="Cambria" w:eastAsia="Times New Roman" w:hAnsi="Cambria" w:cs="Arial"/>
          <w:sz w:val="24"/>
          <w:szCs w:val="24"/>
          <w:lang w:val="bg-BG" w:eastAsia="fr-FR"/>
        </w:rPr>
        <w:t>субсидиарна</w:t>
      </w:r>
      <w:proofErr w:type="spellEnd"/>
      <w:r w:rsidRPr="00DF7CE4">
        <w:rPr>
          <w:rFonts w:ascii="Cambria" w:eastAsia="Times New Roman" w:hAnsi="Cambria" w:cs="Arial"/>
          <w:sz w:val="24"/>
          <w:szCs w:val="24"/>
          <w:lang w:val="bg-BG" w:eastAsia="fr-FR"/>
        </w:rPr>
        <w:t xml:space="preserve"> закрила,</w:t>
      </w:r>
    </w:p>
    <w:p w:rsidR="008743AF" w:rsidRPr="00DF7CE4" w:rsidRDefault="008743AF" w:rsidP="00DF7CE4">
      <w:pPr>
        <w:numPr>
          <w:ilvl w:val="0"/>
          <w:numId w:val="13"/>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критерии и механизми за определяне на държавата членка, която е компетентна за разглеждането на дадена молба,</w:t>
      </w:r>
    </w:p>
    <w:p w:rsidR="008743AF" w:rsidRPr="00DF7CE4" w:rsidRDefault="008743AF" w:rsidP="00DF7CE4">
      <w:pPr>
        <w:numPr>
          <w:ilvl w:val="0"/>
          <w:numId w:val="13"/>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стандарти относно условията на приемане,</w:t>
      </w:r>
    </w:p>
    <w:p w:rsidR="008743AF" w:rsidRPr="00DF7CE4" w:rsidRDefault="008743AF" w:rsidP="00DF7CE4">
      <w:pPr>
        <w:numPr>
          <w:ilvl w:val="0"/>
          <w:numId w:val="13"/>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партньорство и сътрудничество с трети страни.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Не се внася никаква промяна в процеса на вземане на решения в рамките на ЕС.</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Напротив, осъществяваният от Съда на ЕС съдебен контрол е подобрен значително. Оттук нататък </w:t>
      </w:r>
      <w:proofErr w:type="spellStart"/>
      <w:r w:rsidRPr="00DF7CE4">
        <w:rPr>
          <w:rFonts w:ascii="Cambria" w:eastAsia="Times New Roman" w:hAnsi="Cambria" w:cs="Arial"/>
          <w:sz w:val="24"/>
          <w:szCs w:val="24"/>
          <w:lang w:val="bg-BG" w:eastAsia="fr-FR"/>
        </w:rPr>
        <w:t>преюдиционалните</w:t>
      </w:r>
      <w:proofErr w:type="spellEnd"/>
      <w:r w:rsidRPr="00DF7CE4">
        <w:rPr>
          <w:rFonts w:ascii="Cambria" w:eastAsia="Times New Roman" w:hAnsi="Cambria" w:cs="Arial"/>
          <w:sz w:val="24"/>
          <w:szCs w:val="24"/>
          <w:lang w:val="bg-BG" w:eastAsia="fr-FR"/>
        </w:rPr>
        <w:t xml:space="preserve"> запитвания ще могат да се извършват от всички съдилища на дадена държава членка, а не както е било досега от националните съдилища, чиито решения не подлежат на съдебно обжалване съгласно националното право. Това би трябвало да позволи развитието на по-значителна съдебна практика на Съда в областта на убежището.</w:t>
      </w:r>
    </w:p>
    <w:p w:rsidR="008743AF" w:rsidRPr="00DF7CE4" w:rsidRDefault="008743AF" w:rsidP="00DF7CE4">
      <w:pPr>
        <w:shd w:val="clear" w:color="auto" w:fill="FFFFFF"/>
        <w:spacing w:after="120" w:line="240" w:lineRule="auto"/>
        <w:jc w:val="both"/>
        <w:outlineLvl w:val="4"/>
        <w:rPr>
          <w:rFonts w:ascii="Cambria" w:eastAsia="Times New Roman" w:hAnsi="Cambria" w:cs="Arial"/>
          <w:sz w:val="24"/>
          <w:szCs w:val="24"/>
          <w:lang w:val="bg-BG" w:eastAsia="fr-FR"/>
        </w:rPr>
      </w:pPr>
      <w:r w:rsidRPr="00DF7CE4">
        <w:rPr>
          <w:rFonts w:ascii="Cambria" w:eastAsia="Times New Roman" w:hAnsi="Cambria" w:cs="Arial"/>
          <w:b/>
          <w:bCs/>
          <w:caps/>
          <w:sz w:val="24"/>
          <w:szCs w:val="24"/>
          <w:lang w:val="bg-BG" w:eastAsia="fr-FR"/>
        </w:rPr>
        <w:t xml:space="preserve">в. </w:t>
      </w:r>
      <w:r w:rsidRPr="00DF7CE4">
        <w:rPr>
          <w:rFonts w:ascii="Cambria" w:eastAsia="Times New Roman" w:hAnsi="Cambria" w:cs="Arial"/>
          <w:sz w:val="24"/>
          <w:szCs w:val="24"/>
          <w:lang w:val="bg-BG" w:eastAsia="fr-FR"/>
        </w:rPr>
        <w:t>Програмите на Европейския съвет</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Последователните програми, приети от Европейския съвет, оказаха силно въздействие върху прилагането на европейската политика в областта на убежището.</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С приемането на програмата от Тампере през октомври 1999 г. Европейският съвет реши, че прилагането на обща европейска система трябва да се извърши на </w:t>
      </w:r>
      <w:r w:rsidRPr="00DF7CE4">
        <w:rPr>
          <w:rFonts w:ascii="Cambria" w:eastAsia="Times New Roman" w:hAnsi="Cambria" w:cs="Arial"/>
          <w:sz w:val="24"/>
          <w:szCs w:val="24"/>
          <w:lang w:val="bg-BG" w:eastAsia="fr-FR"/>
        </w:rPr>
        <w:lastRenderedPageBreak/>
        <w:t>два последователни етапа. През ноември 2004 г. програмата от Хага изиска инструментите и мерките за втората фаза да бъдат приети преди края на 2010 г.</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Европейският пакт за имиграцията и убежището, приет на 16 октомври 2008 г., припомня тържествено, че всеки преследван чужденец има право да получи помощ и закрила на територията на ЕС по силата на Женевската конвенция. Той призовава за въвеждането, „ако е възможно, през 2010 г., но не по-късно от 2012 г., на единна процедура за убежище, която да съдържа общи гаранции, и да приеме единен статут за бежанец и единен статут за лице, ползващо се от </w:t>
      </w:r>
      <w:proofErr w:type="spellStart"/>
      <w:r w:rsidRPr="00DF7CE4">
        <w:rPr>
          <w:rFonts w:ascii="Cambria" w:eastAsia="Times New Roman" w:hAnsi="Cambria" w:cs="Arial"/>
          <w:sz w:val="24"/>
          <w:szCs w:val="24"/>
          <w:lang w:val="bg-BG" w:eastAsia="fr-FR"/>
        </w:rPr>
        <w:t>субсидиарна</w:t>
      </w:r>
      <w:proofErr w:type="spellEnd"/>
      <w:r w:rsidRPr="00DF7CE4">
        <w:rPr>
          <w:rFonts w:ascii="Cambria" w:eastAsia="Times New Roman" w:hAnsi="Cambria" w:cs="Arial"/>
          <w:sz w:val="24"/>
          <w:szCs w:val="24"/>
          <w:lang w:val="bg-BG" w:eastAsia="fr-FR"/>
        </w:rPr>
        <w:t xml:space="preserve"> закрила“.</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Програмата от Стокхолм, приета от Европейския съвет на 10 декември 2009 г. за периода 2010—2014 г., потвърждава отново „целта да се създаде общо пространство на закрила и солидарност въз основа на обща процедура за предоставяне на убежище и еднакъв статут за лицата, на които се предоставя международна закрила“.</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По-конкретно, Съветът подчертава необходимостта да се насърчи истинската солидарност с държавите членки, които са подложени на особен натиск, и важната роля, която трябва да играе Европейската служба за подкрепа в областта на убежището.</w:t>
      </w:r>
    </w:p>
    <w:p w:rsidR="008743AF" w:rsidRPr="00DF7CE4" w:rsidRDefault="008743AF" w:rsidP="00DF7CE4">
      <w:pPr>
        <w:shd w:val="clear" w:color="auto" w:fill="FFFFFF"/>
        <w:spacing w:after="120" w:line="240" w:lineRule="auto"/>
        <w:jc w:val="both"/>
        <w:outlineLvl w:val="4"/>
        <w:rPr>
          <w:rFonts w:ascii="Cambria" w:eastAsia="Times New Roman" w:hAnsi="Cambria" w:cs="Arial"/>
          <w:sz w:val="24"/>
          <w:szCs w:val="24"/>
          <w:lang w:val="bg-BG" w:eastAsia="fr-FR"/>
        </w:rPr>
      </w:pPr>
      <w:r w:rsidRPr="00DF7CE4">
        <w:rPr>
          <w:rFonts w:ascii="Cambria" w:eastAsia="Times New Roman" w:hAnsi="Cambria" w:cs="Arial"/>
          <w:b/>
          <w:bCs/>
          <w:caps/>
          <w:sz w:val="24"/>
          <w:szCs w:val="24"/>
          <w:lang w:val="bg-BG" w:eastAsia="fr-FR"/>
        </w:rPr>
        <w:t xml:space="preserve">г. </w:t>
      </w:r>
      <w:r w:rsidRPr="00DF7CE4">
        <w:rPr>
          <w:rFonts w:ascii="Cambria" w:eastAsia="Times New Roman" w:hAnsi="Cambria" w:cs="Arial"/>
          <w:sz w:val="24"/>
          <w:szCs w:val="24"/>
          <w:lang w:val="bg-BG" w:eastAsia="fr-FR"/>
        </w:rPr>
        <w:t>Основните съществуващи правни инструменти и текущи предложения са:</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Решение 2000/596/ЕО на Съвета от 28 септември 2000 г. за създаване на Европейски фонд за бежанци, ОВ L 252, 6.10.2000 г., стр. 12;</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Регламент (ЕС) № 603/2013 на Европейския парламент и на Съвета от 26 юни 2013 г. за създаване на система </w:t>
      </w:r>
      <w:proofErr w:type="spellStart"/>
      <w:r w:rsidRPr="00DF7CE4">
        <w:rPr>
          <w:rFonts w:ascii="Cambria" w:eastAsia="Times New Roman" w:hAnsi="Cambria" w:cs="Arial"/>
          <w:sz w:val="24"/>
          <w:szCs w:val="24"/>
          <w:lang w:val="bg-BG" w:eastAsia="fr-FR"/>
        </w:rPr>
        <w:t>Евродак</w:t>
      </w:r>
      <w:proofErr w:type="spellEnd"/>
      <w:r w:rsidRPr="00DF7CE4">
        <w:rPr>
          <w:rFonts w:ascii="Cambria" w:eastAsia="Times New Roman" w:hAnsi="Cambria" w:cs="Arial"/>
          <w:sz w:val="24"/>
          <w:szCs w:val="24"/>
          <w:lang w:val="bg-BG" w:eastAsia="fr-FR"/>
        </w:rPr>
        <w:t xml:space="preserve"> за сравняване на дактилоскопични отпечатъци с оглед ефективното прилагане на Регламент (ЕС) № 604/2013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и за искане на сравнения с данните в </w:t>
      </w:r>
      <w:proofErr w:type="spellStart"/>
      <w:r w:rsidRPr="00DF7CE4">
        <w:rPr>
          <w:rFonts w:ascii="Cambria" w:eastAsia="Times New Roman" w:hAnsi="Cambria" w:cs="Arial"/>
          <w:sz w:val="24"/>
          <w:szCs w:val="24"/>
          <w:lang w:val="bg-BG" w:eastAsia="fr-FR"/>
        </w:rPr>
        <w:t>Евродак</w:t>
      </w:r>
      <w:proofErr w:type="spellEnd"/>
      <w:r w:rsidRPr="00DF7CE4">
        <w:rPr>
          <w:rFonts w:ascii="Cambria" w:eastAsia="Times New Roman" w:hAnsi="Cambria" w:cs="Arial"/>
          <w:sz w:val="24"/>
          <w:szCs w:val="24"/>
          <w:lang w:val="bg-BG" w:eastAsia="fr-FR"/>
        </w:rPr>
        <w:t xml:space="preserve"> от </w:t>
      </w:r>
      <w:proofErr w:type="spellStart"/>
      <w:r w:rsidRPr="00DF7CE4">
        <w:rPr>
          <w:rFonts w:ascii="Cambria" w:eastAsia="Times New Roman" w:hAnsi="Cambria" w:cs="Arial"/>
          <w:sz w:val="24"/>
          <w:szCs w:val="24"/>
          <w:lang w:val="bg-BG" w:eastAsia="fr-FR"/>
        </w:rPr>
        <w:t>правоприлагащите</w:t>
      </w:r>
      <w:proofErr w:type="spellEnd"/>
      <w:r w:rsidRPr="00DF7CE4">
        <w:rPr>
          <w:rFonts w:ascii="Cambria" w:eastAsia="Times New Roman" w:hAnsi="Cambria" w:cs="Arial"/>
          <w:sz w:val="24"/>
          <w:szCs w:val="24"/>
          <w:lang w:val="bg-BG" w:eastAsia="fr-FR"/>
        </w:rPr>
        <w:t xml:space="preserve"> органи на държавите членки и </w:t>
      </w:r>
      <w:proofErr w:type="spellStart"/>
      <w:r w:rsidRPr="00DF7CE4">
        <w:rPr>
          <w:rFonts w:ascii="Cambria" w:eastAsia="Times New Roman" w:hAnsi="Cambria" w:cs="Arial"/>
          <w:sz w:val="24"/>
          <w:szCs w:val="24"/>
          <w:lang w:val="bg-BG" w:eastAsia="fr-FR"/>
        </w:rPr>
        <w:t>Европол</w:t>
      </w:r>
      <w:proofErr w:type="spellEnd"/>
      <w:r w:rsidRPr="00DF7CE4">
        <w:rPr>
          <w:rFonts w:ascii="Cambria" w:eastAsia="Times New Roman" w:hAnsi="Cambria" w:cs="Arial"/>
          <w:sz w:val="24"/>
          <w:szCs w:val="24"/>
          <w:lang w:val="bg-BG" w:eastAsia="fr-FR"/>
        </w:rPr>
        <w:t xml:space="preserve"> за целите на правоприлагането и за изменение на Регламент (ЕС) № 1077/2011 за създаване на Европейска агенция за оперативното управление на </w:t>
      </w:r>
      <w:proofErr w:type="spellStart"/>
      <w:r w:rsidRPr="00DF7CE4">
        <w:rPr>
          <w:rFonts w:ascii="Cambria" w:eastAsia="Times New Roman" w:hAnsi="Cambria" w:cs="Arial"/>
          <w:sz w:val="24"/>
          <w:szCs w:val="24"/>
          <w:lang w:val="bg-BG" w:eastAsia="fr-FR"/>
        </w:rPr>
        <w:t>широкомащабни</w:t>
      </w:r>
      <w:proofErr w:type="spellEnd"/>
      <w:r w:rsidRPr="00DF7CE4">
        <w:rPr>
          <w:rFonts w:ascii="Cambria" w:eastAsia="Times New Roman" w:hAnsi="Cambria" w:cs="Arial"/>
          <w:sz w:val="24"/>
          <w:szCs w:val="24"/>
          <w:lang w:val="bg-BG" w:eastAsia="fr-FR"/>
        </w:rPr>
        <w:t xml:space="preserve"> информационни системи в областта на свободата, сигурността и правосъдието, ОВ L 180, 29.6.2013 г. (Регламент (ЕС) № 603/2013 ще започне да се прилага две години след влизането си в сила и ще отмени предишния Регламент (ЕО) № 2725/2000 на Съвета и Регламент (ЕО) № 407/2002 за неговото прилагане); </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Директива 2013/33/ЕС на Европейския парламент и на Съвета от 26 юни 2013 г. за определяне на стандарти относно приемането на кандидати за </w:t>
      </w:r>
      <w:r w:rsidRPr="00DF7CE4">
        <w:rPr>
          <w:rFonts w:ascii="Cambria" w:eastAsia="Times New Roman" w:hAnsi="Cambria" w:cs="Arial"/>
          <w:sz w:val="24"/>
          <w:szCs w:val="24"/>
          <w:lang w:val="bg-BG" w:eastAsia="fr-FR"/>
        </w:rPr>
        <w:lastRenderedPageBreak/>
        <w:t>международна закрила, ОВ L 180, 29.6.2013 г. (Директива 2013/33/ЕС ще отмени Директива 2003/9/EО на Съвета, считано от 21 юли 2015 г.);</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(Регламент (ЕС) № 604/2013 ще започне да се прилага шест месеца след влизането си в сила и ще отмени предишния Регламент (ЕО) № 343/2003 на Съвета); </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Директива 2011/95/ЕС на Европейския парламент и на Съвета от 13 декември 2011 г. относно стандарти за определянето на граждани на трети държави или лица без гражданство като лица, на които е предоставена международна закрила, за единния статут на бежанците или на лицата, които отговарят на условията за </w:t>
      </w:r>
      <w:proofErr w:type="spellStart"/>
      <w:r w:rsidRPr="00DF7CE4">
        <w:rPr>
          <w:rFonts w:ascii="Cambria" w:eastAsia="Times New Roman" w:hAnsi="Cambria" w:cs="Arial"/>
          <w:sz w:val="24"/>
          <w:szCs w:val="24"/>
          <w:lang w:val="bg-BG" w:eastAsia="fr-FR"/>
        </w:rPr>
        <w:t>субсидиарна</w:t>
      </w:r>
      <w:proofErr w:type="spellEnd"/>
      <w:r w:rsidRPr="00DF7CE4">
        <w:rPr>
          <w:rFonts w:ascii="Cambria" w:eastAsia="Times New Roman" w:hAnsi="Cambria" w:cs="Arial"/>
          <w:sz w:val="24"/>
          <w:szCs w:val="24"/>
          <w:lang w:val="bg-BG" w:eastAsia="fr-FR"/>
        </w:rPr>
        <w:t xml:space="preserve"> закрила, както и за съдържанието на предоставената закрила, ОВ L 337, 20.12.2011 г. (Директива 2011/95/ЕС ще отмени предишната Директива 2004/83/EО на Съвета, считано от 21 декември 2013 г.);</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Директива 2013/32/ЕС на Европейския парламент и на Съвета от 26 юни 2013 г. относно общите процедури за предоставяне и отнемане на международна закрила, ОВ L 180, 29.6.2013 г. (Директива 2013/32/ЕС ще отмени предишната Директива 2005/85/EО на Съвета, считано от 21 юли 2015 г.);</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Решение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Решение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Решение 2007/435/ЕО на Съвета от 25 юни 2007 г. за създаване на Европейски фонд за интеграция на граждани на трети страни за периода 2007—2013 г. като част от Общата програма Солидарност и управление на миграционни потоци, ОВ L 168, 28.6.2007 г.;</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Директива 2008/115/EО на 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Регламент (ЕС) № 439/2010 на Европейския парламент и на Съвета от 19 май 2010 г. за създаване на Европейска служба за подкрепа в областта на убежището, ОВ L 132, 29.5.2010 г.;</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lastRenderedPageBreak/>
        <w:t>Предложение за Регламент на Европейския парламент и на Съвета за определяне на общи разпоредби за фонд „Убежище и миграция“ и за инструмента за финансово подпомагане за полицейското сътрудничество, предотвратяването и борбата с престъпността и управлението на кризи (COM(2011)0752 – 2011/0367(COD));</w:t>
      </w:r>
    </w:p>
    <w:p w:rsidR="008743AF" w:rsidRPr="00DF7CE4" w:rsidRDefault="008743AF" w:rsidP="00DF7CE4">
      <w:pPr>
        <w:numPr>
          <w:ilvl w:val="0"/>
          <w:numId w:val="14"/>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Предложение за Регламент на Европейския парламент и на Съвета за създаване на фонд „Убежище и миграция“ (COM(2011)0751 – 2011/0366 (COD)).</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Роля на Европейския парламент</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Резолюциите от 11 септември 2012 г. относно засилената солидарност в рамките на ЕС в областта на убежището, от 21 юни 2007 г. относно предоставянето на убежище: практическо сътрудничество, качество при вземането на решения в общата европейска система за предоставяне на убежище, от 2 септември 2008 г. относно оценката на дъблинската система и от 10 март 2009 г. относно бъдещето на Общата европейска система за предоставяне на убежище дават общ поглед върху основните насоки и тревоги на Европейския парламент. Европейският парламент настоява за надеждни и справедливи процедури, които се прилагат по ефикасен начин и се основават на принципа на забраната за връщане. Той подчертава, че трябва да се избегне понижаването на нивото на закрила и качеството на оказвания прием и да се поеме по-справедлив дял от тежестта, която понасят държавите членки, разположени на външните граници на ЕС.</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Парламентът подчертава, че задържането следва да е възможно само при изключителни обстоятелства, които са ясно определени и съчетани с право за съдебно обжалване. Той подкрепя създаването на Европейска служба за подкрепа в областта на убежището.</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Освен това Парламентът разполага с инструмента на иска за отмяна пред Съда. Този инструмент беше успешно използван за отмяната на разпоредбите относно процедурата за приемане на общия списък на третите страни, считани за сигурни страни на произход, и на сигурните трети европейски страни, предвиден в Директива 2005/85/EО (Съд на ЕС, Решение от 6 май 2008 г., дело C-133/06).</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Парламентът също така организира поредица от посещения в центровете за настаняване и задържане в държавите членки. Резолюцията от 5 февруари 2009 г. относно прилагането в Европейския съюз на Директива 2003/9/ЕО за определяне на минимални стандарти относно приемането на лица, търсещи убежище: посещения на комисия LIBE от 2005 г. до 2008 г. подчертава пропуските в прилагането на съществуващото законодателство от държавите членки.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В рамките на представянето на новия пакет за убежището, който трябва да доведе до въвеждането на общата европейска система за предоставяне на убежище, Парламентът се произнесе в качеството си на </w:t>
      </w:r>
      <w:proofErr w:type="spellStart"/>
      <w:r w:rsidRPr="00DF7CE4">
        <w:rPr>
          <w:rFonts w:ascii="Cambria" w:eastAsia="Times New Roman" w:hAnsi="Cambria" w:cs="Arial"/>
          <w:sz w:val="24"/>
          <w:szCs w:val="24"/>
          <w:lang w:val="bg-BG" w:eastAsia="fr-FR"/>
        </w:rPr>
        <w:t>съзаконодател</w:t>
      </w:r>
      <w:proofErr w:type="spellEnd"/>
      <w:r w:rsidRPr="00DF7CE4">
        <w:rPr>
          <w:rFonts w:ascii="Cambria" w:eastAsia="Times New Roman" w:hAnsi="Cambria" w:cs="Arial"/>
          <w:sz w:val="24"/>
          <w:szCs w:val="24"/>
          <w:lang w:val="bg-BG" w:eastAsia="fr-FR"/>
        </w:rPr>
        <w:t xml:space="preserve"> на първо четене на 7 май 2009 г. по първите четири предложения на Комисията: минимални стандарти за приемане, </w:t>
      </w:r>
      <w:proofErr w:type="spellStart"/>
      <w:r w:rsidRPr="00DF7CE4">
        <w:rPr>
          <w:rFonts w:ascii="Cambria" w:eastAsia="Times New Roman" w:hAnsi="Cambria" w:cs="Arial"/>
          <w:sz w:val="24"/>
          <w:szCs w:val="24"/>
          <w:lang w:val="bg-BG" w:eastAsia="fr-FR"/>
        </w:rPr>
        <w:t>Евродак</w:t>
      </w:r>
      <w:proofErr w:type="spellEnd"/>
      <w:r w:rsidRPr="00DF7CE4">
        <w:rPr>
          <w:rFonts w:ascii="Cambria" w:eastAsia="Times New Roman" w:hAnsi="Cambria" w:cs="Arial"/>
          <w:sz w:val="24"/>
          <w:szCs w:val="24"/>
          <w:lang w:val="bg-BG" w:eastAsia="fr-FR"/>
        </w:rPr>
        <w:t xml:space="preserve">, определяне на държавата членка, компетентна за разглеждането на дадена молба за убежище, Европейска служба за подкрепа в областта на убежището. Като цяло и след представянето на редица изменения, докладчиците на Парламента бяха удовлетворени от предложенията на Комисията и от цялостния ѝ </w:t>
      </w:r>
      <w:r w:rsidRPr="00DF7CE4">
        <w:rPr>
          <w:rFonts w:ascii="Cambria" w:eastAsia="Times New Roman" w:hAnsi="Cambria" w:cs="Arial Narrow"/>
          <w:sz w:val="24"/>
          <w:szCs w:val="24"/>
          <w:lang w:val="bg-BG" w:eastAsia="fr-FR"/>
        </w:rPr>
        <w:t>подход</w:t>
      </w:r>
      <w:hyperlink r:id="rId13" w:anchor="_ftn1" w:history="1">
        <w:r w:rsidRPr="00DF7CE4">
          <w:rPr>
            <w:rFonts w:ascii="Cambria" w:eastAsia="Times New Roman" w:hAnsi="Cambria" w:cs="Arial"/>
            <w:sz w:val="24"/>
            <w:szCs w:val="24"/>
            <w:lang w:val="bg-BG" w:eastAsia="fr-FR"/>
          </w:rPr>
          <w:t>[1]</w:t>
        </w:r>
      </w:hyperlink>
      <w:r w:rsidRPr="00DF7CE4">
        <w:rPr>
          <w:rFonts w:ascii="Cambria" w:eastAsia="Times New Roman" w:hAnsi="Cambria" w:cs="Arial"/>
          <w:sz w:val="24"/>
          <w:szCs w:val="24"/>
          <w:lang w:val="bg-BG" w:eastAsia="fr-FR"/>
        </w:rPr>
        <w:t xml:space="preserve">. След повече от две години преговори и </w:t>
      </w:r>
      <w:r w:rsidRPr="00DF7CE4">
        <w:rPr>
          <w:rFonts w:ascii="Cambria" w:eastAsia="Times New Roman" w:hAnsi="Cambria" w:cs="Arial"/>
          <w:sz w:val="24"/>
          <w:szCs w:val="24"/>
          <w:lang w:val="bg-BG" w:eastAsia="fr-FR"/>
        </w:rPr>
        <w:lastRenderedPageBreak/>
        <w:t>приемането през 2010 г. на Регламент (ЕС) № 439/2010 за създаване на Европейска служба за подкрепа в областта на убежището и в края на 2011 г. на Директива 2011/95/ЕС относно стандарти за определянето (вж. по-горе: Постижения, точка Г), между Съвета и Парламента беше постигнато политическо споразумение относно Директива 2013/33/ЕС за определяне на стандарти относно приемането на кандидати за международна закрила и Директива 2013/32/ЕС относно общите процедури за предоставяне и отнемане на международна закрила. Създаването на новата обща европейска система за предоставяне на убежище беше завършено с приемането на изменения Дъблински регламент (ЕС) № 604/2013 и Регламент (ЕС) № 603/2013 за създаване на система „</w:t>
      </w:r>
      <w:proofErr w:type="spellStart"/>
      <w:r w:rsidRPr="00DF7CE4">
        <w:rPr>
          <w:rFonts w:ascii="Cambria" w:eastAsia="Times New Roman" w:hAnsi="Cambria" w:cs="Arial"/>
          <w:sz w:val="24"/>
          <w:szCs w:val="24"/>
          <w:lang w:val="bg-BG" w:eastAsia="fr-FR"/>
        </w:rPr>
        <w:t>Евродак</w:t>
      </w:r>
      <w:proofErr w:type="spellEnd"/>
      <w:r w:rsidRPr="00DF7CE4">
        <w:rPr>
          <w:rFonts w:ascii="Cambria" w:eastAsia="Times New Roman" w:hAnsi="Cambria" w:cs="Arial"/>
          <w:sz w:val="24"/>
          <w:szCs w:val="24"/>
          <w:lang w:val="bg-BG" w:eastAsia="fr-FR"/>
        </w:rPr>
        <w:t>“ през юни 2013 г.</w:t>
      </w:r>
    </w:p>
    <w:p w:rsidR="008743AF" w:rsidRPr="00DF7CE4" w:rsidRDefault="00334980" w:rsidP="00DF7CE4">
      <w:pPr>
        <w:shd w:val="clear" w:color="auto" w:fill="FFFFFF"/>
        <w:spacing w:after="120" w:line="240" w:lineRule="auto"/>
        <w:jc w:val="both"/>
        <w:rPr>
          <w:rFonts w:ascii="Cambria" w:eastAsia="Times New Roman" w:hAnsi="Cambria" w:cs="Arial"/>
          <w:sz w:val="24"/>
          <w:szCs w:val="24"/>
          <w:lang w:val="bg-BG" w:eastAsia="fr-FR"/>
        </w:rPr>
      </w:pPr>
      <w:hyperlink r:id="rId14" w:anchor="_ftnref1" w:history="1">
        <w:r w:rsidR="008743AF" w:rsidRPr="00DF7CE4">
          <w:rPr>
            <w:rFonts w:ascii="Cambria" w:eastAsia="Times New Roman" w:hAnsi="Cambria" w:cs="Arial"/>
            <w:sz w:val="24"/>
            <w:szCs w:val="24"/>
            <w:lang w:val="bg-BG" w:eastAsia="fr-FR"/>
          </w:rPr>
          <w:t>[1]</w:t>
        </w:r>
      </w:hyperlink>
      <w:r w:rsidR="008743AF" w:rsidRPr="00DF7CE4">
        <w:rPr>
          <w:rFonts w:ascii="Cambria" w:eastAsia="Times New Roman" w:hAnsi="Cambria" w:cs="Arial"/>
          <w:sz w:val="24"/>
          <w:szCs w:val="24"/>
          <w:lang w:val="bg-BG" w:eastAsia="fr-FR"/>
        </w:rPr>
        <w:t>Минимални норми за приемане, A.</w:t>
      </w:r>
      <w:proofErr w:type="spellStart"/>
      <w:r w:rsidR="008743AF" w:rsidRPr="00DF7CE4">
        <w:rPr>
          <w:rFonts w:ascii="Cambria" w:eastAsia="Times New Roman" w:hAnsi="Cambria" w:cs="Arial"/>
          <w:sz w:val="24"/>
          <w:szCs w:val="24"/>
          <w:lang w:val="bg-BG" w:eastAsia="fr-FR"/>
        </w:rPr>
        <w:t>Масип</w:t>
      </w:r>
      <w:proofErr w:type="spellEnd"/>
      <w:r w:rsidR="008743AF" w:rsidRPr="00DF7CE4">
        <w:rPr>
          <w:rFonts w:ascii="Cambria" w:eastAsia="Times New Roman" w:hAnsi="Cambria" w:cs="Arial"/>
          <w:sz w:val="24"/>
          <w:szCs w:val="24"/>
          <w:lang w:val="bg-BG" w:eastAsia="fr-FR"/>
        </w:rPr>
        <w:t xml:space="preserve"> Идалго, 2008/0244 (COD), </w:t>
      </w:r>
      <w:proofErr w:type="spellStart"/>
      <w:r w:rsidR="008743AF" w:rsidRPr="00DF7CE4">
        <w:rPr>
          <w:rFonts w:ascii="Cambria" w:eastAsia="Times New Roman" w:hAnsi="Cambria" w:cs="Arial"/>
          <w:sz w:val="24"/>
          <w:szCs w:val="24"/>
          <w:lang w:val="bg-BG" w:eastAsia="fr-FR"/>
        </w:rPr>
        <w:t>Евродак</w:t>
      </w:r>
      <w:proofErr w:type="spellEnd"/>
      <w:r w:rsidR="008743AF" w:rsidRPr="00DF7CE4">
        <w:rPr>
          <w:rFonts w:ascii="Cambria" w:eastAsia="Times New Roman" w:hAnsi="Cambria" w:cs="Arial"/>
          <w:sz w:val="24"/>
          <w:szCs w:val="24"/>
          <w:lang w:val="bg-BG" w:eastAsia="fr-FR"/>
        </w:rPr>
        <w:t>, Н.</w:t>
      </w:r>
      <w:proofErr w:type="spellStart"/>
      <w:r w:rsidR="008743AF" w:rsidRPr="00DF7CE4">
        <w:rPr>
          <w:rFonts w:ascii="Cambria" w:eastAsia="Times New Roman" w:hAnsi="Cambria" w:cs="Arial"/>
          <w:sz w:val="24"/>
          <w:szCs w:val="24"/>
          <w:lang w:val="bg-BG" w:eastAsia="fr-FR"/>
        </w:rPr>
        <w:t>Влад</w:t>
      </w:r>
      <w:proofErr w:type="spellEnd"/>
      <w:r w:rsidR="008743AF" w:rsidRPr="00DF7CE4">
        <w:rPr>
          <w:rFonts w:ascii="Cambria" w:eastAsia="Times New Roman" w:hAnsi="Cambria" w:cs="Arial"/>
          <w:sz w:val="24"/>
          <w:szCs w:val="24"/>
          <w:lang w:val="bg-BG" w:eastAsia="fr-FR"/>
        </w:rPr>
        <w:t xml:space="preserve"> Попа, 2008/0242 (COD), Европейска служба за подкрепа в областта на убежището, </w:t>
      </w:r>
      <w:proofErr w:type="spellStart"/>
      <w:r w:rsidR="008743AF" w:rsidRPr="00DF7CE4">
        <w:rPr>
          <w:rFonts w:ascii="Cambria" w:eastAsia="Times New Roman" w:hAnsi="Cambria" w:cs="Arial"/>
          <w:sz w:val="24"/>
          <w:szCs w:val="24"/>
          <w:lang w:val="bg-BG" w:eastAsia="fr-FR"/>
        </w:rPr>
        <w:t>Дж</w:t>
      </w:r>
      <w:proofErr w:type="spellEnd"/>
      <w:r w:rsidR="008743AF" w:rsidRPr="00DF7CE4">
        <w:rPr>
          <w:rFonts w:ascii="Cambria" w:eastAsia="Times New Roman" w:hAnsi="Cambria" w:cs="Arial"/>
          <w:sz w:val="24"/>
          <w:szCs w:val="24"/>
          <w:lang w:val="bg-BG" w:eastAsia="fr-FR"/>
        </w:rPr>
        <w:t>.</w:t>
      </w:r>
      <w:proofErr w:type="spellStart"/>
      <w:r w:rsidR="008743AF" w:rsidRPr="00DF7CE4">
        <w:rPr>
          <w:rFonts w:ascii="Cambria" w:eastAsia="Times New Roman" w:hAnsi="Cambria" w:cs="Arial"/>
          <w:sz w:val="24"/>
          <w:szCs w:val="24"/>
          <w:lang w:val="bg-BG" w:eastAsia="fr-FR"/>
        </w:rPr>
        <w:t>Ламбърт</w:t>
      </w:r>
      <w:proofErr w:type="spellEnd"/>
      <w:r w:rsidR="008743AF" w:rsidRPr="00DF7CE4">
        <w:rPr>
          <w:rFonts w:ascii="Cambria" w:eastAsia="Times New Roman" w:hAnsi="Cambria" w:cs="Arial"/>
          <w:sz w:val="24"/>
          <w:szCs w:val="24"/>
          <w:lang w:val="bg-BG" w:eastAsia="fr-FR"/>
        </w:rPr>
        <w:t>, 2009/0027 (COD), Държава членка, компетентна за разглеждането на молба за убежище, Ж.</w:t>
      </w:r>
      <w:proofErr w:type="spellStart"/>
      <w:r w:rsidR="008743AF" w:rsidRPr="00DF7CE4">
        <w:rPr>
          <w:rFonts w:ascii="Cambria" w:eastAsia="Times New Roman" w:hAnsi="Cambria" w:cs="Arial"/>
          <w:sz w:val="24"/>
          <w:szCs w:val="24"/>
          <w:lang w:val="bg-BG" w:eastAsia="fr-FR"/>
        </w:rPr>
        <w:t>Хенис-Плашарт</w:t>
      </w:r>
      <w:proofErr w:type="spellEnd"/>
      <w:r w:rsidR="008743AF" w:rsidRPr="00DF7CE4">
        <w:rPr>
          <w:rFonts w:ascii="Cambria" w:eastAsia="Times New Roman" w:hAnsi="Cambria" w:cs="Arial"/>
          <w:sz w:val="24"/>
          <w:szCs w:val="24"/>
          <w:lang w:val="bg-BG" w:eastAsia="fr-FR"/>
        </w:rPr>
        <w:t xml:space="preserve">, 2008/0243 (COD), Европейски фонд за бежанците, Б. </w:t>
      </w:r>
      <w:proofErr w:type="spellStart"/>
      <w:r w:rsidR="008743AF" w:rsidRPr="00DF7CE4">
        <w:rPr>
          <w:rFonts w:ascii="Cambria" w:eastAsia="Times New Roman" w:hAnsi="Cambria" w:cs="Arial"/>
          <w:sz w:val="24"/>
          <w:szCs w:val="24"/>
          <w:lang w:val="bg-BG" w:eastAsia="fr-FR"/>
        </w:rPr>
        <w:t>Дюркоп</w:t>
      </w:r>
      <w:proofErr w:type="spellEnd"/>
      <w:r w:rsidR="008743AF" w:rsidRPr="00DF7CE4">
        <w:rPr>
          <w:rFonts w:ascii="Cambria" w:eastAsia="Times New Roman" w:hAnsi="Cambria" w:cs="Arial"/>
          <w:sz w:val="24"/>
          <w:szCs w:val="24"/>
          <w:lang w:val="bg-BG" w:eastAsia="fr-FR"/>
        </w:rPr>
        <w:t xml:space="preserve"> </w:t>
      </w:r>
      <w:proofErr w:type="spellStart"/>
      <w:r w:rsidR="008743AF" w:rsidRPr="00DF7CE4">
        <w:rPr>
          <w:rFonts w:ascii="Cambria" w:eastAsia="Times New Roman" w:hAnsi="Cambria" w:cs="Arial"/>
          <w:sz w:val="24"/>
          <w:szCs w:val="24"/>
          <w:lang w:val="bg-BG" w:eastAsia="fr-FR"/>
        </w:rPr>
        <w:t>Дюркоп</w:t>
      </w:r>
      <w:proofErr w:type="spellEnd"/>
      <w:r w:rsidR="008743AF" w:rsidRPr="00DF7CE4">
        <w:rPr>
          <w:rFonts w:ascii="Cambria" w:eastAsia="Times New Roman" w:hAnsi="Cambria" w:cs="Arial"/>
          <w:sz w:val="24"/>
          <w:szCs w:val="24"/>
          <w:lang w:val="bg-BG" w:eastAsia="fr-FR"/>
        </w:rPr>
        <w:t>, 2009/0026 (COD).</w:t>
      </w:r>
    </w:p>
    <w:p w:rsidR="008743AF" w:rsidRPr="00DF7CE4" w:rsidRDefault="008743AF" w:rsidP="00DF7CE4">
      <w:pPr>
        <w:shd w:val="clear" w:color="auto" w:fill="FFFFFF"/>
        <w:spacing w:after="120" w:line="240" w:lineRule="auto"/>
        <w:jc w:val="both"/>
        <w:rPr>
          <w:rFonts w:ascii="Cambria" w:eastAsia="Times New Roman" w:hAnsi="Cambria" w:cs="Arial"/>
          <w:b/>
          <w:bCs/>
          <w:sz w:val="24"/>
          <w:szCs w:val="24"/>
          <w:lang w:val="bg-BG" w:eastAsia="fr-FR"/>
        </w:rPr>
      </w:pPr>
      <w:proofErr w:type="spellStart"/>
      <w:r w:rsidRPr="00DF7CE4">
        <w:rPr>
          <w:rFonts w:ascii="Cambria" w:eastAsia="Times New Roman" w:hAnsi="Cambria" w:cs="Arial"/>
          <w:b/>
          <w:bCs/>
          <w:sz w:val="24"/>
          <w:szCs w:val="24"/>
          <w:lang w:val="bg-BG" w:eastAsia="fr-FR"/>
        </w:rPr>
        <w:t>Sarah</w:t>
      </w:r>
      <w:proofErr w:type="spellEnd"/>
      <w:r w:rsidRPr="00DF7CE4">
        <w:rPr>
          <w:rFonts w:ascii="Cambria" w:eastAsia="Times New Roman" w:hAnsi="Cambria" w:cs="Arial"/>
          <w:b/>
          <w:bCs/>
          <w:sz w:val="24"/>
          <w:szCs w:val="24"/>
          <w:lang w:val="bg-BG" w:eastAsia="fr-FR"/>
        </w:rPr>
        <w:t xml:space="preserve"> </w:t>
      </w:r>
      <w:proofErr w:type="spellStart"/>
      <w:r w:rsidRPr="00DF7CE4">
        <w:rPr>
          <w:rFonts w:ascii="Cambria" w:eastAsia="Times New Roman" w:hAnsi="Cambria" w:cs="Arial"/>
          <w:b/>
          <w:bCs/>
          <w:sz w:val="24"/>
          <w:szCs w:val="24"/>
          <w:lang w:val="bg-BG" w:eastAsia="fr-FR"/>
        </w:rPr>
        <w:t>Sy</w:t>
      </w:r>
      <w:proofErr w:type="spellEnd"/>
      <w:r w:rsidRPr="00DF7CE4">
        <w:rPr>
          <w:rFonts w:ascii="Cambria" w:eastAsia="Times New Roman" w:hAnsi="Cambria" w:cs="Arial"/>
          <w:b/>
          <w:bCs/>
          <w:sz w:val="24"/>
          <w:szCs w:val="24"/>
          <w:lang w:eastAsia="fr-FR"/>
        </w:rPr>
        <w:t xml:space="preserve">, </w:t>
      </w:r>
      <w:r w:rsidRPr="00DF7CE4">
        <w:rPr>
          <w:rFonts w:ascii="Cambria" w:eastAsia="Times New Roman" w:hAnsi="Cambria" w:cs="Arial"/>
          <w:b/>
          <w:bCs/>
          <w:sz w:val="24"/>
          <w:szCs w:val="24"/>
          <w:lang w:val="bg-BG" w:eastAsia="fr-FR"/>
        </w:rPr>
        <w:t>02/2014</w:t>
      </w:r>
    </w:p>
    <w:p w:rsidR="008743AF" w:rsidRPr="00DF7CE4" w:rsidRDefault="008743AF" w:rsidP="00DF7CE4">
      <w:pPr>
        <w:spacing w:after="120" w:line="240" w:lineRule="auto"/>
        <w:jc w:val="both"/>
        <w:rPr>
          <w:rFonts w:ascii="Cambria" w:hAnsi="Cambria" w:cs="Arial"/>
          <w:b/>
          <w:sz w:val="24"/>
          <w:szCs w:val="24"/>
        </w:rPr>
      </w:pPr>
    </w:p>
    <w:p w:rsidR="008743AF" w:rsidRPr="00DF7CE4" w:rsidRDefault="008743AF" w:rsidP="00DF7CE4">
      <w:pPr>
        <w:shd w:val="clear" w:color="auto" w:fill="FFFFFF"/>
        <w:spacing w:after="120" w:line="240" w:lineRule="auto"/>
        <w:jc w:val="both"/>
        <w:outlineLvl w:val="2"/>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Имиграционна политика</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Прогресивна и всеобхватна европейска миграционна политика, основана на солидарност, е ключовата цел за Европейския съюз. Миграционна политика има за цел да установи един балансиран подход както към законната, така и към „нередовната“ имиграция.</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Правно основание</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Членове 79 и 80 от Договора за функционирането на Европейския съюз (ДФЕС).</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Правомощия</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Законна миграция</w:t>
      </w:r>
      <w:r w:rsidRPr="00DF7CE4">
        <w:rPr>
          <w:rFonts w:ascii="Cambria" w:eastAsia="Times New Roman" w:hAnsi="Cambria" w:cs="Arial"/>
          <w:sz w:val="24"/>
          <w:szCs w:val="24"/>
          <w:lang w:val="bg-BG" w:eastAsia="fr-FR"/>
        </w:rPr>
        <w:t>: ЕС разполага с компетентност да определи условията за влизане и пребиваване на граждани на трети държави, пребиваващи законно в дадена държава членка, за целите на заетостта, обучение или събиране на семейството. Държавите членки все още запазват правото си да определят процента на приемани лица, идващи от трети държави до тяхната територия, за да търсят работа.</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Интеграция</w:t>
      </w:r>
      <w:r w:rsidRPr="00DF7CE4">
        <w:rPr>
          <w:rFonts w:ascii="Cambria" w:eastAsia="Times New Roman" w:hAnsi="Cambria" w:cs="Arial"/>
          <w:sz w:val="24"/>
          <w:szCs w:val="24"/>
          <w:lang w:val="bg-BG" w:eastAsia="fr-FR"/>
        </w:rPr>
        <w:t>: ЕС може да предостави стимули и подкрепа за мерки, предприемани от държавите членки за насърчаване на интеграцията на законно пребиваващите граждани от трети страни; независимо от това няма разпоредби за хармонизирането на националните законодателства и разпоредби.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Борба срещу незаконната миграция</w:t>
      </w:r>
      <w:r w:rsidRPr="00DF7CE4">
        <w:rPr>
          <w:rFonts w:ascii="Cambria" w:eastAsia="Times New Roman" w:hAnsi="Cambria" w:cs="Arial"/>
          <w:sz w:val="24"/>
          <w:szCs w:val="24"/>
          <w:lang w:val="bg-BG" w:eastAsia="fr-FR"/>
        </w:rPr>
        <w:t xml:space="preserve">: от ЕС се изисква да предотврати и намали „нередовната“ имиграция, по-специално чрез ефективна политика за връщане, при пълно зачитане на основните права; </w:t>
      </w:r>
      <w:r w:rsidRPr="00DF7CE4">
        <w:rPr>
          <w:rFonts w:ascii="Cambria" w:eastAsia="Times New Roman" w:hAnsi="Cambria" w:cs="Arial"/>
          <w:b/>
          <w:bCs/>
          <w:sz w:val="24"/>
          <w:szCs w:val="24"/>
          <w:lang w:val="bg-BG" w:eastAsia="fr-FR"/>
        </w:rPr>
        <w:t>„</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w:b/>
          <w:bCs/>
          <w:sz w:val="24"/>
          <w:szCs w:val="24"/>
          <w:lang w:val="bg-BG" w:eastAsia="fr-FR"/>
        </w:rPr>
        <w:t>Нередовен</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w:b/>
          <w:bCs/>
          <w:sz w:val="24"/>
          <w:szCs w:val="24"/>
          <w:lang w:val="bg-BG" w:eastAsia="fr-FR"/>
        </w:rPr>
        <w:t>“</w:t>
      </w:r>
      <w:r w:rsidRPr="00DF7CE4">
        <w:rPr>
          <w:rFonts w:ascii="Cambria" w:eastAsia="Times New Roman" w:hAnsi="Cambria" w:cs="Arial"/>
          <w:sz w:val="24"/>
          <w:szCs w:val="24"/>
          <w:lang w:val="bg-BG" w:eastAsia="fr-FR"/>
        </w:rPr>
        <w:t xml:space="preserve"> </w:t>
      </w:r>
      <w:proofErr w:type="spellStart"/>
      <w:r w:rsidRPr="00DF7CE4">
        <w:rPr>
          <w:rFonts w:ascii="Cambria" w:eastAsia="Times New Roman" w:hAnsi="Cambria" w:cs="Arial"/>
          <w:b/>
          <w:bCs/>
          <w:sz w:val="24"/>
          <w:szCs w:val="24"/>
          <w:lang w:val="bg-BG" w:eastAsia="fr-FR"/>
        </w:rPr>
        <w:t>мигрант</w:t>
      </w:r>
      <w:proofErr w:type="spellEnd"/>
      <w:r w:rsidRPr="00DF7CE4">
        <w:rPr>
          <w:rFonts w:ascii="Cambria" w:eastAsia="Times New Roman" w:hAnsi="Cambria" w:cs="Arial"/>
          <w:sz w:val="24"/>
          <w:szCs w:val="24"/>
          <w:lang w:val="bg-BG" w:eastAsia="fr-FR"/>
        </w:rPr>
        <w:t xml:space="preserve"> е лице, което идва в ЕС без правилната виза или разрешително, или което надхвърли позволения срок за пребиваване, след изтичане на визата му.</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Спогодби за обратно приемане</w:t>
      </w:r>
      <w:r w:rsidRPr="00DF7CE4">
        <w:rPr>
          <w:rFonts w:ascii="Cambria" w:eastAsia="Times New Roman" w:hAnsi="Cambria" w:cs="Arial"/>
          <w:sz w:val="24"/>
          <w:szCs w:val="24"/>
          <w:lang w:val="bg-BG" w:eastAsia="fr-FR"/>
        </w:rPr>
        <w:t xml:space="preserve">: ЕС има компетентност да сключва споразумения с трети държави за обратно приемане в страната на произход или на транзитно </w:t>
      </w:r>
      <w:r w:rsidRPr="00DF7CE4">
        <w:rPr>
          <w:rFonts w:ascii="Cambria" w:eastAsia="Times New Roman" w:hAnsi="Cambria" w:cs="Arial"/>
          <w:sz w:val="24"/>
          <w:szCs w:val="24"/>
          <w:lang w:val="bg-BG" w:eastAsia="fr-FR"/>
        </w:rPr>
        <w:lastRenderedPageBreak/>
        <w:t>преминаване на граждани на трети държави, които в момента или вече не отговарят на условията за влизане, присъствие или пребиваване в една от държавите членки.</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Цели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Определяне на балансиран подход към имиграцията:</w:t>
      </w:r>
      <w:r w:rsidRPr="00DF7CE4">
        <w:rPr>
          <w:rFonts w:ascii="Cambria" w:eastAsia="Times New Roman" w:hAnsi="Cambria" w:cs="Arial"/>
          <w:sz w:val="24"/>
          <w:szCs w:val="24"/>
          <w:lang w:val="bg-BG" w:eastAsia="fr-FR"/>
        </w:rPr>
        <w:t xml:space="preserve"> целта на ЕС е да се установи балансиран подход към третирането на законната миграция и борбата срещу незаконната имиграция. Правилното управление на миграционните потоци предполага гарантирането на справедливо третиране на граждани на трети държави, законно пребиваващи в държавите членки, засилване на мерките за борба с незаконната имиграция и насърчаване на по-тясно сътрудничество с трети държави във всички области. ЕС има за цел уеднаквяване на правата и задълженията на законните имигранти, които да бъдат съпоставими с тези на гражданите на ЕС.</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Принцип на солидарност</w:t>
      </w:r>
      <w:r w:rsidRPr="00DF7CE4">
        <w:rPr>
          <w:rFonts w:ascii="Cambria" w:eastAsia="Times New Roman" w:hAnsi="Cambria" w:cs="Arial"/>
          <w:sz w:val="24"/>
          <w:szCs w:val="24"/>
          <w:lang w:val="bg-BG" w:eastAsia="fr-FR"/>
        </w:rPr>
        <w:t>: съгласно Договора от Лисабон, имиграционните политики следва да се уреждат на принципа на солидарност и справедливо споделяне на отговорността между държавите членки (член 80 от ДФЕС), включително неговите финансови последици.</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Постижения</w:t>
      </w:r>
    </w:p>
    <w:p w:rsidR="008743AF" w:rsidRPr="00DF7CE4" w:rsidRDefault="008743AF" w:rsidP="00DF7CE4">
      <w:pPr>
        <w:shd w:val="clear" w:color="auto" w:fill="FFFFFF"/>
        <w:spacing w:after="120" w:line="240" w:lineRule="auto"/>
        <w:jc w:val="both"/>
        <w:outlineLvl w:val="4"/>
        <w:rPr>
          <w:rFonts w:ascii="Cambria" w:eastAsia="Times New Roman" w:hAnsi="Cambria" w:cs="Arial"/>
          <w:sz w:val="24"/>
          <w:szCs w:val="24"/>
          <w:lang w:val="bg-BG" w:eastAsia="fr-FR"/>
        </w:rPr>
      </w:pPr>
      <w:r w:rsidRPr="00DF7CE4">
        <w:rPr>
          <w:rFonts w:ascii="Cambria" w:eastAsia="Times New Roman" w:hAnsi="Cambria" w:cs="Arial"/>
          <w:b/>
          <w:bCs/>
          <w:caps/>
          <w:sz w:val="24"/>
          <w:szCs w:val="24"/>
          <w:lang w:val="bg-BG" w:eastAsia="fr-FR"/>
        </w:rPr>
        <w:t xml:space="preserve">а. </w:t>
      </w:r>
      <w:r w:rsidRPr="00DF7CE4">
        <w:rPr>
          <w:rFonts w:ascii="Cambria" w:eastAsia="Times New Roman" w:hAnsi="Cambria" w:cs="Arial"/>
          <w:sz w:val="24"/>
          <w:szCs w:val="24"/>
          <w:lang w:val="bg-BG" w:eastAsia="fr-FR"/>
        </w:rPr>
        <w:t>Институционални изменения, въведени от Договора от Лисабон</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Договорът от Лисабон, който влезе в сила през декември 2009 г. (</w:t>
      </w:r>
      <w:hyperlink r:id="rId15" w:tooltip="1.1.5" w:history="1">
        <w:r w:rsidRPr="00DF7CE4">
          <w:rPr>
            <w:rFonts w:ascii="Cambria" w:eastAsia="Times New Roman" w:hAnsi="Cambria" w:cs="Arial"/>
            <w:sz w:val="24"/>
            <w:szCs w:val="24"/>
            <w:lang w:val="bg-BG" w:eastAsia="fr-FR"/>
          </w:rPr>
          <w:t>1.1.5</w:t>
        </w:r>
      </w:hyperlink>
      <w:r w:rsidRPr="00DF7CE4">
        <w:rPr>
          <w:rFonts w:ascii="Cambria" w:eastAsia="Times New Roman" w:hAnsi="Cambria" w:cs="Arial"/>
          <w:sz w:val="24"/>
          <w:szCs w:val="24"/>
          <w:lang w:val="bg-BG" w:eastAsia="fr-FR"/>
        </w:rPr>
        <w:t xml:space="preserve">) въведе съвместното вземане на решения и гласуването с квалифицирано мнозинство относно законната миграция, както и ново правно основание за мерките за интеграция. Понастоящем обикновената законодателна процедура се прилага както за политиките за законна имиграция, така и за политиките за незаконна имиграция, като превръща Парламента в </w:t>
      </w:r>
      <w:proofErr w:type="spellStart"/>
      <w:r w:rsidRPr="00DF7CE4">
        <w:rPr>
          <w:rFonts w:ascii="Cambria" w:eastAsia="Times New Roman" w:hAnsi="Cambria" w:cs="Arial"/>
          <w:sz w:val="24"/>
          <w:szCs w:val="24"/>
          <w:lang w:val="bg-BG" w:eastAsia="fr-FR"/>
        </w:rPr>
        <w:t>съзаконодател</w:t>
      </w:r>
      <w:proofErr w:type="spellEnd"/>
      <w:r w:rsidRPr="00DF7CE4">
        <w:rPr>
          <w:rFonts w:ascii="Cambria" w:eastAsia="Times New Roman" w:hAnsi="Cambria" w:cs="Arial"/>
          <w:sz w:val="24"/>
          <w:szCs w:val="24"/>
          <w:lang w:val="bg-BG" w:eastAsia="fr-FR"/>
        </w:rPr>
        <w:t xml:space="preserve"> при равни права със Съвета.</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Договорът от Лисабон поясни също, че правомощията на ЕС в тази област се споделят с държавите членки, по-специално по отношение на броя на </w:t>
      </w:r>
      <w:proofErr w:type="spellStart"/>
      <w:r w:rsidRPr="00DF7CE4">
        <w:rPr>
          <w:rFonts w:ascii="Cambria" w:eastAsia="Times New Roman" w:hAnsi="Cambria" w:cs="Arial"/>
          <w:sz w:val="24"/>
          <w:szCs w:val="24"/>
          <w:lang w:val="bg-BG" w:eastAsia="fr-FR"/>
        </w:rPr>
        <w:t>мигрантите</w:t>
      </w:r>
      <w:proofErr w:type="spellEnd"/>
      <w:r w:rsidRPr="00DF7CE4">
        <w:rPr>
          <w:rFonts w:ascii="Cambria" w:eastAsia="Times New Roman" w:hAnsi="Cambria" w:cs="Arial"/>
          <w:sz w:val="24"/>
          <w:szCs w:val="24"/>
          <w:lang w:val="bg-BG" w:eastAsia="fr-FR"/>
        </w:rPr>
        <w:t>, на които е позволено да влизат законно на територията на държава членка, за да търсят работа (член 79, параграф 5 от ДФЕС). Освен това той включва разпоредби за приемането на възможността за приемане на мерки за подпомагане на съответната държава членка в случай на внезапен приток на граждани на трети държави в дадена държава членка (член 78, параграф 2 от ДФЕС).</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И най-накрая Съдът на Европейския съюз разполага сега с пълни правомощия в областта на имиграцията и убежището.</w:t>
      </w:r>
    </w:p>
    <w:p w:rsidR="008743AF" w:rsidRPr="00DF7CE4" w:rsidRDefault="008743AF" w:rsidP="00DF7CE4">
      <w:pPr>
        <w:shd w:val="clear" w:color="auto" w:fill="FFFFFF"/>
        <w:spacing w:after="120" w:line="240" w:lineRule="auto"/>
        <w:jc w:val="both"/>
        <w:outlineLvl w:val="4"/>
        <w:rPr>
          <w:rFonts w:ascii="Cambria" w:eastAsia="Times New Roman" w:hAnsi="Cambria" w:cs="Arial"/>
          <w:sz w:val="24"/>
          <w:szCs w:val="24"/>
          <w:lang w:val="bg-BG" w:eastAsia="fr-FR"/>
        </w:rPr>
      </w:pPr>
      <w:r w:rsidRPr="00DF7CE4">
        <w:rPr>
          <w:rFonts w:ascii="Cambria" w:eastAsia="Times New Roman" w:hAnsi="Cambria" w:cs="Arial"/>
          <w:b/>
          <w:bCs/>
          <w:caps/>
          <w:sz w:val="24"/>
          <w:szCs w:val="24"/>
          <w:lang w:val="bg-BG" w:eastAsia="fr-FR"/>
        </w:rPr>
        <w:t xml:space="preserve">б. </w:t>
      </w:r>
      <w:r w:rsidRPr="00DF7CE4">
        <w:rPr>
          <w:rFonts w:ascii="Cambria" w:eastAsia="Times New Roman" w:hAnsi="Cambria" w:cs="Arial"/>
          <w:sz w:val="24"/>
          <w:szCs w:val="24"/>
          <w:lang w:val="bg-BG" w:eastAsia="fr-FR"/>
        </w:rPr>
        <w:t>Последно развитие на политиката</w:t>
      </w:r>
    </w:p>
    <w:p w:rsidR="008743AF" w:rsidRPr="00DF7CE4" w:rsidRDefault="008743AF" w:rsidP="00DF7CE4">
      <w:pPr>
        <w:shd w:val="clear" w:color="auto" w:fill="FFFFFF"/>
        <w:spacing w:after="120" w:line="240" w:lineRule="auto"/>
        <w:jc w:val="both"/>
        <w:outlineLvl w:val="5"/>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1.</w:t>
      </w:r>
      <w:r w:rsidRPr="00DF7CE4">
        <w:rPr>
          <w:rFonts w:ascii="Cambria" w:eastAsia="Times New Roman" w:hAnsi="Cambria" w:cs="Arial"/>
          <w:sz w:val="24"/>
          <w:szCs w:val="24"/>
          <w:lang w:val="bg-BG" w:eastAsia="fr-FR"/>
        </w:rPr>
        <w:t>Глобален подход към миграцията и мобилността</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През ноември 2011 г. Комисията прие своето съобщение, озаглавено „Глобален подход към миграцията и мобилността“, с което се цели по-съгласуваното обединяване на съответните политики, свързани с миграцията. Подходът включва четири стълба: законна миграция и мобилност; незаконна миграция и трафик на хора. международна закрила и политика в областта на убежището; и </w:t>
      </w:r>
      <w:r w:rsidRPr="00DF7CE4">
        <w:rPr>
          <w:rFonts w:ascii="Cambria" w:eastAsia="Times New Roman" w:hAnsi="Cambria" w:cs="Arial"/>
          <w:sz w:val="24"/>
          <w:szCs w:val="24"/>
          <w:lang w:val="bg-BG" w:eastAsia="fr-FR"/>
        </w:rPr>
        <w:lastRenderedPageBreak/>
        <w:t xml:space="preserve">оптимизиране на въздействието на миграцията и мобилността върху развитието. Правата на човека, засягащи </w:t>
      </w:r>
      <w:proofErr w:type="spellStart"/>
      <w:r w:rsidRPr="00DF7CE4">
        <w:rPr>
          <w:rFonts w:ascii="Cambria" w:eastAsia="Times New Roman" w:hAnsi="Cambria" w:cs="Arial"/>
          <w:sz w:val="24"/>
          <w:szCs w:val="24"/>
          <w:lang w:val="bg-BG" w:eastAsia="fr-FR"/>
        </w:rPr>
        <w:t>мигрантите</w:t>
      </w:r>
      <w:proofErr w:type="spellEnd"/>
      <w:r w:rsidRPr="00DF7CE4">
        <w:rPr>
          <w:rFonts w:ascii="Cambria" w:eastAsia="Times New Roman" w:hAnsi="Cambria" w:cs="Arial"/>
          <w:sz w:val="24"/>
          <w:szCs w:val="24"/>
          <w:lang w:val="bg-BG" w:eastAsia="fr-FR"/>
        </w:rPr>
        <w:t xml:space="preserve">, представляват </w:t>
      </w:r>
      <w:proofErr w:type="spellStart"/>
      <w:r w:rsidRPr="00DF7CE4">
        <w:rPr>
          <w:rFonts w:ascii="Cambria" w:eastAsia="Times New Roman" w:hAnsi="Cambria" w:cs="Arial"/>
          <w:sz w:val="24"/>
          <w:szCs w:val="24"/>
          <w:lang w:val="bg-BG" w:eastAsia="fr-FR"/>
        </w:rPr>
        <w:t>трансверсален</w:t>
      </w:r>
      <w:proofErr w:type="spellEnd"/>
      <w:r w:rsidRPr="00DF7CE4">
        <w:rPr>
          <w:rFonts w:ascii="Cambria" w:eastAsia="Times New Roman" w:hAnsi="Cambria" w:cs="Arial"/>
          <w:sz w:val="24"/>
          <w:szCs w:val="24"/>
          <w:lang w:val="bg-BG" w:eastAsia="fr-FR"/>
        </w:rPr>
        <w:t xml:space="preserve"> въпрос в този подход.</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Глобалният подход съсредоточава своето внимание върху регионалния и двустранния диалог между държавите на произход, транзитно преминаване и местоназначение. Един от основните инструменти на глобалния подход и възможността за сключване на „партньорства за мобилност“ с трети държави. Подобни партньорства включват не само споразумения за обратно приемане, но широк набор от мерки, вариращи от помощ за развитие до улесняване получаването на виза за временен достъп, кръгова миграция и борба срещу незаконната миграция.</w:t>
      </w:r>
    </w:p>
    <w:p w:rsidR="008743AF" w:rsidRPr="00DF7CE4" w:rsidRDefault="008743AF" w:rsidP="00DF7CE4">
      <w:pPr>
        <w:shd w:val="clear" w:color="auto" w:fill="FFFFFF"/>
        <w:spacing w:after="120" w:line="240" w:lineRule="auto"/>
        <w:jc w:val="both"/>
        <w:outlineLvl w:val="5"/>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2.</w:t>
      </w:r>
      <w:r w:rsidRPr="00DF7CE4">
        <w:rPr>
          <w:rFonts w:ascii="Cambria" w:eastAsia="Times New Roman" w:hAnsi="Cambria" w:cs="Arial"/>
          <w:sz w:val="24"/>
          <w:szCs w:val="24"/>
          <w:lang w:val="bg-BG" w:eastAsia="fr-FR"/>
        </w:rPr>
        <w:t>Програмата от Стокхолм и нейният приемник</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Европейският съвет на своето заседание през декември 2009 г. прие „Стокхолмската програма — отворена и сигурна Европа в услуга и за защита на гражданите“. Като продължение на програмите от Тампере и Хага, Стокхолмската програма е новата многогодишна програма за предприемане на мерки в областта на пространството на свобода, сигурност и правосъдие, в това число приоритетите на политиката за миграция на ЕС за периода 2010—2014 г.</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Стокхолмската програма ще приключи през декември 2014 г. През март 2014 г., Комисията прие ново съобщение, представящо нейното виждане за бъдещата програма за вътрешните работи, озаглавено „Отворена и сигурна Европа: превръщане на визията в реалност“. Новото съобщение ще допринесе за разискването на стратегическите насоки от Европейския съвет и Парламента през юни 2014 г.</w:t>
      </w:r>
    </w:p>
    <w:p w:rsidR="008743AF" w:rsidRPr="00DF7CE4" w:rsidRDefault="008743AF" w:rsidP="00DF7CE4">
      <w:pPr>
        <w:shd w:val="clear" w:color="auto" w:fill="FFFFFF"/>
        <w:spacing w:after="120" w:line="240" w:lineRule="auto"/>
        <w:jc w:val="both"/>
        <w:outlineLvl w:val="4"/>
        <w:rPr>
          <w:rFonts w:ascii="Cambria" w:eastAsia="Times New Roman" w:hAnsi="Cambria" w:cs="Arial"/>
          <w:sz w:val="24"/>
          <w:szCs w:val="24"/>
          <w:lang w:val="bg-BG" w:eastAsia="fr-FR"/>
        </w:rPr>
      </w:pPr>
      <w:r w:rsidRPr="00DF7CE4">
        <w:rPr>
          <w:rFonts w:ascii="Cambria" w:eastAsia="Times New Roman" w:hAnsi="Cambria" w:cs="Arial"/>
          <w:b/>
          <w:bCs/>
          <w:caps/>
          <w:sz w:val="24"/>
          <w:szCs w:val="24"/>
          <w:lang w:val="bg-BG" w:eastAsia="fr-FR"/>
        </w:rPr>
        <w:t xml:space="preserve">в. </w:t>
      </w:r>
      <w:r w:rsidRPr="00DF7CE4">
        <w:rPr>
          <w:rFonts w:ascii="Cambria" w:eastAsia="Times New Roman" w:hAnsi="Cambria" w:cs="Arial"/>
          <w:sz w:val="24"/>
          <w:szCs w:val="24"/>
          <w:lang w:val="bg-BG" w:eastAsia="fr-FR"/>
        </w:rPr>
        <w:t>Последно законодателно развитие</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От 2008 г. са приети редица важни директиви, свързани с имиграцията и убежището, както и някои други съответни директиви следва да бъдат преразгледани в близко бъдеще.</w:t>
      </w:r>
    </w:p>
    <w:p w:rsidR="008743AF" w:rsidRPr="00DF7CE4" w:rsidRDefault="008743AF" w:rsidP="00DF7CE4">
      <w:pPr>
        <w:shd w:val="clear" w:color="auto" w:fill="FFFFFF"/>
        <w:spacing w:after="120" w:line="240" w:lineRule="auto"/>
        <w:jc w:val="both"/>
        <w:outlineLvl w:val="5"/>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1.</w:t>
      </w:r>
      <w:r w:rsidRPr="00DF7CE4">
        <w:rPr>
          <w:rFonts w:ascii="Cambria" w:eastAsia="Times New Roman" w:hAnsi="Cambria" w:cs="Arial"/>
          <w:sz w:val="24"/>
          <w:szCs w:val="24"/>
          <w:lang w:val="bg-BG" w:eastAsia="fr-FR"/>
        </w:rPr>
        <w:t>Относно законната миграция</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След срещнатите трудности при приемането на обща разпоредба, обхващаща цялата трудова имиграция в ЕС, новият подход понастоящем се състои в приемането на секторно законодателство, по категории на </w:t>
      </w:r>
      <w:proofErr w:type="spellStart"/>
      <w:r w:rsidRPr="00DF7CE4">
        <w:rPr>
          <w:rFonts w:ascii="Cambria" w:eastAsia="Times New Roman" w:hAnsi="Cambria" w:cs="Arial"/>
          <w:sz w:val="24"/>
          <w:szCs w:val="24"/>
          <w:lang w:val="bg-BG" w:eastAsia="fr-FR"/>
        </w:rPr>
        <w:t>мигрантите</w:t>
      </w:r>
      <w:proofErr w:type="spellEnd"/>
      <w:r w:rsidRPr="00DF7CE4">
        <w:rPr>
          <w:rFonts w:ascii="Cambria" w:eastAsia="Times New Roman" w:hAnsi="Cambria" w:cs="Arial"/>
          <w:sz w:val="24"/>
          <w:szCs w:val="24"/>
          <w:lang w:val="bg-BG" w:eastAsia="fr-FR"/>
        </w:rPr>
        <w:t>, за да се установи правна имиграционната политика на равнище ЕС.</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Директива 2009/50/ЕО относно условията за влизане и пребиваване на граждани на трети държави за целите на висококвалифицирана трудова заетост, въвежда „синя карта на ЕС“, скоростна процедура за издаване на специални разрешения за пребиваване и работа при по-атрактивни условия за работниците от трети държави при заемането на висококвалифицирана длъжност в държавите членки. Директивата трябваше да бъде приложена до 19 юни 2011 г.; първият доклад относно прилагането трябва да бъде представен до юни 2014 г.</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Директивата за единното разрешение (2011/98/ЕС) определя обща, опростена процедура за граждани на трети държави, които кандидатстват за разрешение за пребиваване и работа в държава членка, както и общ набор от права, които да </w:t>
      </w:r>
      <w:r w:rsidRPr="00DF7CE4">
        <w:rPr>
          <w:rFonts w:ascii="Cambria" w:eastAsia="Times New Roman" w:hAnsi="Cambria" w:cs="Arial"/>
          <w:sz w:val="24"/>
          <w:szCs w:val="24"/>
          <w:lang w:val="bg-BG" w:eastAsia="fr-FR"/>
        </w:rPr>
        <w:lastRenderedPageBreak/>
        <w:t>бъдат присъдени на легалните имигранти. Директивата трябва да бъде приложена до 25 декември 2013 г.; първият доклад относно нейното прилагане трябва да бъде представен до декември 2016 г.</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Директива 2014/36/ЕС, приета през февруари 2014 г., регулира условията за влизане и престой на граждани на трети държави с цел заетост като сезонни работници. Сезонните работници </w:t>
      </w:r>
      <w:proofErr w:type="spellStart"/>
      <w:r w:rsidRPr="00DF7CE4">
        <w:rPr>
          <w:rFonts w:ascii="Cambria" w:eastAsia="Times New Roman" w:hAnsi="Cambria" w:cs="Arial"/>
          <w:sz w:val="24"/>
          <w:szCs w:val="24"/>
          <w:lang w:val="bg-BG" w:eastAsia="fr-FR"/>
        </w:rPr>
        <w:t>мигранти</w:t>
      </w:r>
      <w:proofErr w:type="spellEnd"/>
      <w:r w:rsidRPr="00DF7CE4">
        <w:rPr>
          <w:rFonts w:ascii="Cambria" w:eastAsia="Times New Roman" w:hAnsi="Cambria" w:cs="Arial"/>
          <w:sz w:val="24"/>
          <w:szCs w:val="24"/>
          <w:lang w:val="bg-BG" w:eastAsia="fr-FR"/>
        </w:rPr>
        <w:t xml:space="preserve"> имат право на законен временен престой в ЕС за период от пет до девет месеца (в зависимост от държавата членка), за да извършват дейност, зависеща от смяната на сезоните, като същевременно запазват основното си местожителство в трета държава. Директивата разяснява също така набора от права, полагащи се на работниците </w:t>
      </w:r>
      <w:proofErr w:type="spellStart"/>
      <w:r w:rsidRPr="00DF7CE4">
        <w:rPr>
          <w:rFonts w:ascii="Cambria" w:eastAsia="Times New Roman" w:hAnsi="Cambria" w:cs="Arial"/>
          <w:sz w:val="24"/>
          <w:szCs w:val="24"/>
          <w:lang w:val="bg-BG" w:eastAsia="fr-FR"/>
        </w:rPr>
        <w:t>мигранти</w:t>
      </w:r>
      <w:proofErr w:type="spellEnd"/>
      <w:r w:rsidRPr="00DF7CE4">
        <w:rPr>
          <w:rFonts w:ascii="Cambria" w:eastAsia="Times New Roman" w:hAnsi="Cambria" w:cs="Arial"/>
          <w:sz w:val="24"/>
          <w:szCs w:val="24"/>
          <w:lang w:val="bg-BG" w:eastAsia="fr-FR"/>
        </w:rPr>
        <w:t>.</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През април 2014 г. Парламентът гласува резолюция за приемането на предложението за директива относно условията за влизане и пребиваване на граждани на трети държави в рамките на </w:t>
      </w:r>
      <w:proofErr w:type="spellStart"/>
      <w:r w:rsidRPr="00DF7CE4">
        <w:rPr>
          <w:rFonts w:ascii="Cambria" w:eastAsia="Times New Roman" w:hAnsi="Cambria" w:cs="Arial"/>
          <w:sz w:val="24"/>
          <w:szCs w:val="24"/>
          <w:lang w:val="bg-BG" w:eastAsia="fr-FR"/>
        </w:rPr>
        <w:t>вътрешнокорпоративен</w:t>
      </w:r>
      <w:proofErr w:type="spellEnd"/>
      <w:r w:rsidRPr="00DF7CE4">
        <w:rPr>
          <w:rFonts w:ascii="Cambria" w:eastAsia="Times New Roman" w:hAnsi="Cambria" w:cs="Arial"/>
          <w:sz w:val="24"/>
          <w:szCs w:val="24"/>
          <w:lang w:val="bg-BG" w:eastAsia="fr-FR"/>
        </w:rPr>
        <w:t xml:space="preserve"> трансфер. Веднъж приета от Съвета новата директива ще улесни предприятията и многонационалните корпорации при временното преместване на техните управители, специалисти и служители стажанти в техните клонове или дъщерни дружества, намиращи се в Европейския съюз.</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На 25 март 2013 г. Комисията внесе ново предложение за директива (СОМ(2013)0151) за подобряване на съществуващите законодателни инструменти, приложими за граждани на трети държави, които желаят да влязат в ЕС с цел обучение или извършване на изследователска дейност (Директиви 2004/114/EО и 2005/71/EО).</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Най-накрая, статутът на граждани на трети държави, които пребивават дългосрочно в Европейския съюз, все още се регулира от Директива 2003/109/ЕО на Съвета, във вида, в който е изменена през 2011 г., за да се разшири приложното ѝ </w:t>
      </w:r>
      <w:r w:rsidRPr="00DF7CE4">
        <w:rPr>
          <w:rFonts w:ascii="Cambria" w:eastAsia="Times New Roman" w:hAnsi="Cambria" w:cs="Arial Narrow"/>
          <w:sz w:val="24"/>
          <w:szCs w:val="24"/>
          <w:lang w:val="bg-BG" w:eastAsia="fr-FR"/>
        </w:rPr>
        <w:t>поле</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така</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че</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да</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бъдат</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обхванати</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бежанците</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и</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други</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лица</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ползващи</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се</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от</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международна</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закрила</w:t>
      </w:r>
      <w:r w:rsidRPr="00DF7CE4">
        <w:rPr>
          <w:rFonts w:ascii="Cambria" w:eastAsia="Times New Roman" w:hAnsi="Cambria" w:cs="Arial"/>
          <w:sz w:val="24"/>
          <w:szCs w:val="24"/>
          <w:lang w:val="bg-BG" w:eastAsia="fr-FR"/>
        </w:rPr>
        <w:t>.</w:t>
      </w:r>
    </w:p>
    <w:p w:rsidR="008743AF" w:rsidRPr="00DF7CE4" w:rsidRDefault="008743AF" w:rsidP="00DF7CE4">
      <w:pPr>
        <w:shd w:val="clear" w:color="auto" w:fill="FFFFFF"/>
        <w:spacing w:after="120" w:line="240" w:lineRule="auto"/>
        <w:jc w:val="both"/>
        <w:outlineLvl w:val="5"/>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2.</w:t>
      </w:r>
      <w:r w:rsidRPr="00DF7CE4">
        <w:rPr>
          <w:rFonts w:ascii="Cambria" w:eastAsia="Times New Roman" w:hAnsi="Cambria" w:cs="Arial"/>
          <w:sz w:val="24"/>
          <w:szCs w:val="24"/>
          <w:lang w:val="bg-BG" w:eastAsia="fr-FR"/>
        </w:rPr>
        <w:t>Относно интеграцията</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Директива 2003/86/ЕО определя разпоредби относно правото на събиране на семейството. Докладът от 2008 г. относно нейното прилагане заключи, че тя не е била изцяло и правилно приложена в държавите членки: вследствие на това през 2011 г. беше публикувана зелена книга, с която се откри процесът на публични консултации. През април 2014 г. Комисията публикува съобщение, с което на държавите членки се предоставят насоки относно прилагането на директивата.</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През април 2010 г. Комисията представи трето издание на Наръчника по въпросите на интеграцията за създателите на политики и практикуващите по места, а през юли 2011 г. прие Европейската програма за интеграция на граждани на трети страни. Освен това от 2009 г. насам са създадени два нови инструмента за разглеждане на въпросите, свързани с интеграцията, по-конкретно Европейския форум за интеграция (организиран от Комисията и Европейския икономически и социален комитет) и Европейския уебсайт за интеграция (</w:t>
      </w:r>
      <w:hyperlink r:id="rId16" w:history="1">
        <w:r w:rsidRPr="00DF7CE4">
          <w:rPr>
            <w:rFonts w:ascii="Cambria" w:eastAsia="Times New Roman" w:hAnsi="Cambria" w:cs="Arial"/>
            <w:sz w:val="24"/>
            <w:szCs w:val="24"/>
            <w:lang w:val="bg-BG" w:eastAsia="fr-FR"/>
          </w:rPr>
          <w:t>http://ec.europa.eu/ewsi/en/</w:t>
        </w:r>
      </w:hyperlink>
      <w:r w:rsidRPr="00DF7CE4">
        <w:rPr>
          <w:rFonts w:ascii="Cambria" w:eastAsia="Times New Roman" w:hAnsi="Cambria" w:cs="Arial"/>
          <w:sz w:val="24"/>
          <w:szCs w:val="24"/>
          <w:lang w:val="bg-BG" w:eastAsia="fr-FR"/>
        </w:rPr>
        <w:t>).</w:t>
      </w:r>
    </w:p>
    <w:p w:rsidR="008743AF" w:rsidRPr="00DF7CE4" w:rsidRDefault="008743AF" w:rsidP="00DF7CE4">
      <w:pPr>
        <w:shd w:val="clear" w:color="auto" w:fill="FFFFFF"/>
        <w:spacing w:after="120" w:line="240" w:lineRule="auto"/>
        <w:jc w:val="both"/>
        <w:outlineLvl w:val="5"/>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3.</w:t>
      </w:r>
      <w:r w:rsidRPr="00DF7CE4">
        <w:rPr>
          <w:rFonts w:ascii="Cambria" w:eastAsia="Times New Roman" w:hAnsi="Cambria" w:cs="Arial"/>
          <w:sz w:val="24"/>
          <w:szCs w:val="24"/>
          <w:lang w:val="bg-BG" w:eastAsia="fr-FR"/>
        </w:rPr>
        <w:t>Относно „нередовната“ миграция</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lastRenderedPageBreak/>
        <w:t>ЕС прие два основни законодателни акта за борба срещу „нередовната“ миграция:</w:t>
      </w:r>
    </w:p>
    <w:p w:rsidR="008743AF" w:rsidRPr="00DF7CE4" w:rsidRDefault="008743AF" w:rsidP="00DF7CE4">
      <w:pPr>
        <w:numPr>
          <w:ilvl w:val="0"/>
          <w:numId w:val="15"/>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Директива относно връщането (2008/115/ЕО), определя общите стандарти и процедури на ЕС за връщане на незаконно пребиваващи граждани на трети държави. Държавите членки бяха призовани да приложат директивата до 24 декември 2010 г. Първият доклад относно нейното прилагане беше приет през март 2014 г. и изтъкна положителните развития, както и съществуващите предизвикателства. Основните области за допълнителни действия включват гарантиране на адекватното прилагане, насърчаване на последователни практики, които да са съвместими с основните права, подобряване на сътрудничеството между държавите членки и засилване на ролята на </w:t>
      </w:r>
      <w:proofErr w:type="spellStart"/>
      <w:r w:rsidRPr="00DF7CE4">
        <w:rPr>
          <w:rFonts w:ascii="Cambria" w:eastAsia="Times New Roman" w:hAnsi="Cambria" w:cs="Arial"/>
          <w:sz w:val="24"/>
          <w:szCs w:val="24"/>
          <w:lang w:val="bg-BG" w:eastAsia="fr-FR"/>
        </w:rPr>
        <w:t>Frontex</w:t>
      </w:r>
      <w:proofErr w:type="spellEnd"/>
      <w:r w:rsidRPr="00DF7CE4">
        <w:rPr>
          <w:rFonts w:ascii="Cambria" w:eastAsia="Times New Roman" w:hAnsi="Cambria" w:cs="Arial"/>
          <w:b/>
          <w:bCs/>
          <w:sz w:val="24"/>
          <w:szCs w:val="24"/>
          <w:lang w:val="bg-BG" w:eastAsia="fr-FR"/>
        </w:rPr>
        <w:t>.</w:t>
      </w:r>
      <w:r w:rsidRPr="00DF7CE4">
        <w:rPr>
          <w:rFonts w:ascii="Cambria" w:eastAsia="Times New Roman" w:hAnsi="Cambria" w:cs="Arial"/>
          <w:sz w:val="24"/>
          <w:szCs w:val="24"/>
          <w:lang w:val="bg-BG" w:eastAsia="fr-FR"/>
        </w:rPr>
        <w:t xml:space="preserve"> </w:t>
      </w:r>
    </w:p>
    <w:p w:rsidR="008743AF" w:rsidRPr="00DF7CE4" w:rsidRDefault="008743AF" w:rsidP="00DF7CE4">
      <w:pPr>
        <w:numPr>
          <w:ilvl w:val="0"/>
          <w:numId w:val="15"/>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Директива 2009/52/ЕО предвижда санкции и мерки, които да бъдат прилагани в държавите членки срещу работодатели, които нарушават забраната за наемане на незаконно пребиваващи граждани на трета държава. Държавите членки бяха приканени да приложат директивата до 20 юли 2011 г., а първият доклад за прилагането й трябва да бъде представен до юли 2014 г.</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В същото време, ЕС води преговори с държавите на произход и на транзитно преминаване за сключване на споразумения за обратно връщане на „нередовните“ </w:t>
      </w:r>
      <w:proofErr w:type="spellStart"/>
      <w:r w:rsidRPr="00DF7CE4">
        <w:rPr>
          <w:rFonts w:ascii="Cambria" w:eastAsia="Times New Roman" w:hAnsi="Cambria" w:cs="Arial"/>
          <w:sz w:val="24"/>
          <w:szCs w:val="24"/>
          <w:lang w:val="bg-BG" w:eastAsia="fr-FR"/>
        </w:rPr>
        <w:t>мигранти</w:t>
      </w:r>
      <w:proofErr w:type="spellEnd"/>
      <w:r w:rsidRPr="00DF7CE4">
        <w:rPr>
          <w:rFonts w:ascii="Cambria" w:eastAsia="Times New Roman" w:hAnsi="Cambria" w:cs="Arial"/>
          <w:sz w:val="24"/>
          <w:szCs w:val="24"/>
          <w:lang w:val="bg-BG" w:eastAsia="fr-FR"/>
        </w:rPr>
        <w:t xml:space="preserve"> и за сътрудничество в борбата срещу трафика на хора. Тези споразумения включват ангажименти за взаимно сътрудничество и партньорство между Европейския съюз и трети държави. Преговорите приключиха и споразуменията влязоха в сила с Хонконг, Макао, Шри Ланка, Албания, Русия, Украйна, Босна и Херцеговина, Бившата югославска република Македония, Черна гора, Пакистан,Сърбия, Молдова и Грузия, Армения, Азербайджан и Кабо Верде. През февруари 2014 г. Парламентът даде своето одобрение за сключването на споразумение за обратно приемане с Турция.</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Ролята на Европейския парламент</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Той активно подкрепя въвеждането на европейска имиграционна политика. Във връзка с приемането на граждани на трети държави, той призова за разработването на законови средства, в частност на мерки с цел намаляването на предпоставките за „нередовна“ имиграция.</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В своята резолюция относно Стокхолмската програма, приета на 25 ноември 2009 г., Парламентът призова настоятелно политиките за интеграция, имиграция и убежище да бъдат изградени на основата на пълно зачитане на основните права. Той отново изрази съжаление във връзка с връщането и колективното експулсиране в държави, в които не се зачитат правата на човека. Парламентът винаги е подчертавал колко е важно да се отговори на нуждите на най-уязвимите групи, като бежанци и непълнолетни.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От момента на влизането в сила на Договора от Лисабон Парламентът е бил активно ангажиран в приемането на ново законодателство, разглеждащо въпросите, свързани с имиграцията. Например, той изигра централна роля при изготвянето и одобрението на директивите за връщането и за единното разрешително.</w:t>
      </w:r>
    </w:p>
    <w:p w:rsidR="008743AF" w:rsidRPr="00DF7CE4" w:rsidRDefault="008743AF" w:rsidP="00DF7CE4">
      <w:pPr>
        <w:shd w:val="clear" w:color="auto" w:fill="FFFFFF"/>
        <w:spacing w:after="120" w:line="240" w:lineRule="auto"/>
        <w:jc w:val="both"/>
        <w:rPr>
          <w:rFonts w:ascii="Cambria" w:eastAsia="Times New Roman" w:hAnsi="Cambria" w:cs="Arial"/>
          <w:b/>
          <w:bCs/>
          <w:sz w:val="24"/>
          <w:szCs w:val="24"/>
          <w:lang w:val="bg-BG" w:eastAsia="fr-FR"/>
        </w:rPr>
      </w:pPr>
      <w:proofErr w:type="spellStart"/>
      <w:r w:rsidRPr="00DF7CE4">
        <w:rPr>
          <w:rFonts w:ascii="Cambria" w:eastAsia="Times New Roman" w:hAnsi="Cambria" w:cs="Arial"/>
          <w:b/>
          <w:bCs/>
          <w:sz w:val="24"/>
          <w:szCs w:val="24"/>
          <w:lang w:val="bg-BG" w:eastAsia="fr-FR"/>
        </w:rPr>
        <w:lastRenderedPageBreak/>
        <w:t>Rosa</w:t>
      </w:r>
      <w:proofErr w:type="spellEnd"/>
      <w:r w:rsidRPr="00DF7CE4">
        <w:rPr>
          <w:rFonts w:ascii="Cambria" w:eastAsia="Times New Roman" w:hAnsi="Cambria" w:cs="Arial"/>
          <w:b/>
          <w:bCs/>
          <w:sz w:val="24"/>
          <w:szCs w:val="24"/>
          <w:lang w:val="bg-BG" w:eastAsia="fr-FR"/>
        </w:rPr>
        <w:t xml:space="preserve"> </w:t>
      </w:r>
      <w:proofErr w:type="spellStart"/>
      <w:r w:rsidRPr="00DF7CE4">
        <w:rPr>
          <w:rFonts w:ascii="Cambria" w:eastAsia="Times New Roman" w:hAnsi="Cambria" w:cs="Arial"/>
          <w:b/>
          <w:bCs/>
          <w:sz w:val="24"/>
          <w:szCs w:val="24"/>
          <w:lang w:val="bg-BG" w:eastAsia="fr-FR"/>
        </w:rPr>
        <w:t>Raffaelli</w:t>
      </w:r>
      <w:proofErr w:type="spellEnd"/>
      <w:r w:rsidRPr="00DF7CE4">
        <w:rPr>
          <w:rFonts w:ascii="Cambria" w:eastAsia="Times New Roman" w:hAnsi="Cambria" w:cs="Arial"/>
          <w:b/>
          <w:bCs/>
          <w:sz w:val="24"/>
          <w:szCs w:val="24"/>
          <w:lang w:eastAsia="fr-FR"/>
        </w:rPr>
        <w:t xml:space="preserve">, </w:t>
      </w:r>
      <w:r w:rsidRPr="00DF7CE4">
        <w:rPr>
          <w:rFonts w:ascii="Cambria" w:eastAsia="Times New Roman" w:hAnsi="Cambria" w:cs="Arial"/>
          <w:b/>
          <w:bCs/>
          <w:sz w:val="24"/>
          <w:szCs w:val="24"/>
          <w:lang w:val="bg-BG" w:eastAsia="fr-FR"/>
        </w:rPr>
        <w:t>04/2014</w:t>
      </w:r>
    </w:p>
    <w:p w:rsidR="008743AF" w:rsidRPr="00DF7CE4" w:rsidRDefault="008743AF" w:rsidP="00DF7CE4">
      <w:pPr>
        <w:spacing w:after="120" w:line="240" w:lineRule="auto"/>
        <w:jc w:val="both"/>
        <w:rPr>
          <w:rFonts w:ascii="Cambria" w:hAnsi="Cambria" w:cs="Arial"/>
          <w:b/>
          <w:sz w:val="24"/>
          <w:szCs w:val="24"/>
        </w:rPr>
      </w:pPr>
    </w:p>
    <w:p w:rsidR="008743AF" w:rsidRPr="00DF7CE4" w:rsidRDefault="008743AF" w:rsidP="00DF7CE4">
      <w:pPr>
        <w:shd w:val="clear" w:color="auto" w:fill="FFFFFF"/>
        <w:spacing w:after="120" w:line="240" w:lineRule="auto"/>
        <w:jc w:val="both"/>
        <w:outlineLvl w:val="2"/>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Управление на външните граници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След период на бърз напредък, характеризиран с развитието на инструменти и агенции като ШИС, ВИС и </w:t>
      </w:r>
      <w:proofErr w:type="spellStart"/>
      <w:r w:rsidRPr="00DF7CE4">
        <w:rPr>
          <w:rFonts w:ascii="Cambria" w:eastAsia="Times New Roman" w:hAnsi="Cambria" w:cs="Arial"/>
          <w:sz w:val="24"/>
          <w:szCs w:val="24"/>
          <w:lang w:val="bg-BG" w:eastAsia="fr-FR"/>
        </w:rPr>
        <w:t>Frontex</w:t>
      </w:r>
      <w:proofErr w:type="spellEnd"/>
      <w:r w:rsidRPr="00DF7CE4">
        <w:rPr>
          <w:rFonts w:ascii="Cambria" w:eastAsia="Times New Roman" w:hAnsi="Cambria" w:cs="Arial"/>
          <w:sz w:val="24"/>
          <w:szCs w:val="24"/>
          <w:lang w:val="bg-BG" w:eastAsia="fr-FR"/>
        </w:rPr>
        <w:t>, пространството на свобода, сигурност и правосъдие сега навлиза в период на консолидация, за да се даде възможност да укрепне най-ценният елемент за правилното функциониране на управлението на външните граници да укрепне — доверието между държавите членки, както и това между тях и институциите на ЕС.</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Правно основание</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Член 77 от ДФЕС (предишен член 62 от ДЕО)</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Цели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Като гарантира, че лицата имат право да преминават неговите вътрешни граници без никакъв контрол, Съюзът установява общи стандарти по отношение на контрола по външните си граници и въвежда интегрирана система за управление на тези граници.</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Резултати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Първата стъпка към общо управление на външните граници на Съюза беше направена на 14 юни 1985 г., когато пет от тогава десетте държави членки на Европейската общност подписаха </w:t>
      </w:r>
      <w:r w:rsidRPr="00DF7CE4">
        <w:rPr>
          <w:rFonts w:ascii="Cambria" w:eastAsia="Times New Roman" w:hAnsi="Cambria" w:cs="Arial"/>
          <w:b/>
          <w:bCs/>
          <w:sz w:val="24"/>
          <w:szCs w:val="24"/>
          <w:lang w:val="bg-BG" w:eastAsia="fr-FR"/>
        </w:rPr>
        <w:t>Шенгенското споразумение</w:t>
      </w:r>
      <w:r w:rsidRPr="00DF7CE4">
        <w:rPr>
          <w:rFonts w:ascii="Cambria" w:eastAsia="Times New Roman" w:hAnsi="Cambria" w:cs="Arial"/>
          <w:sz w:val="24"/>
          <w:szCs w:val="24"/>
          <w:lang w:val="bg-BG" w:eastAsia="fr-FR"/>
        </w:rPr>
        <w:t xml:space="preserve">, което пет години по-късно беше допълнено от </w:t>
      </w:r>
      <w:r w:rsidRPr="00DF7CE4">
        <w:rPr>
          <w:rFonts w:ascii="Cambria" w:eastAsia="Times New Roman" w:hAnsi="Cambria" w:cs="Arial"/>
          <w:b/>
          <w:bCs/>
          <w:sz w:val="24"/>
          <w:szCs w:val="24"/>
          <w:lang w:val="bg-BG" w:eastAsia="fr-FR"/>
        </w:rPr>
        <w:t>Конвенцията за прилагане на Шенгенското споразумение</w:t>
      </w:r>
      <w:r w:rsidRPr="00DF7CE4">
        <w:rPr>
          <w:rFonts w:ascii="Cambria" w:eastAsia="Times New Roman" w:hAnsi="Cambria" w:cs="Arial"/>
          <w:sz w:val="24"/>
          <w:szCs w:val="24"/>
          <w:lang w:val="bg-BG" w:eastAsia="fr-FR"/>
        </w:rPr>
        <w:t>.</w:t>
      </w:r>
      <w:r w:rsidRPr="00DF7CE4">
        <w:rPr>
          <w:rFonts w:ascii="Cambria" w:eastAsia="Times New Roman" w:hAnsi="Cambria" w:cs="Arial"/>
          <w:b/>
          <w:bCs/>
          <w:sz w:val="24"/>
          <w:szCs w:val="24"/>
          <w:lang w:val="bg-BG" w:eastAsia="fr-FR"/>
        </w:rPr>
        <w:t xml:space="preserve"> </w:t>
      </w:r>
      <w:r w:rsidRPr="00DF7CE4">
        <w:rPr>
          <w:rFonts w:ascii="Cambria" w:eastAsia="Times New Roman" w:hAnsi="Cambria" w:cs="Arial"/>
          <w:sz w:val="24"/>
          <w:szCs w:val="24"/>
          <w:lang w:val="bg-BG" w:eastAsia="fr-FR"/>
        </w:rPr>
        <w:t xml:space="preserve">Споразумението, конвенцията, правилата, приети въз основа на тези текстове и свързаните договори, взети заедно, създават, </w:t>
      </w:r>
      <w:r w:rsidRPr="00DF7CE4">
        <w:rPr>
          <w:rFonts w:ascii="Cambria" w:eastAsia="Times New Roman" w:hAnsi="Cambria" w:cs="Arial"/>
          <w:b/>
          <w:bCs/>
          <w:sz w:val="24"/>
          <w:szCs w:val="24"/>
          <w:lang w:val="bg-BG" w:eastAsia="fr-FR"/>
        </w:rPr>
        <w:t xml:space="preserve">Достиженията на правото от </w:t>
      </w:r>
      <w:proofErr w:type="spellStart"/>
      <w:r w:rsidRPr="00DF7CE4">
        <w:rPr>
          <w:rFonts w:ascii="Cambria" w:eastAsia="Times New Roman" w:hAnsi="Cambria" w:cs="Arial"/>
          <w:b/>
          <w:bCs/>
          <w:sz w:val="24"/>
          <w:szCs w:val="24"/>
          <w:lang w:val="bg-BG" w:eastAsia="fr-FR"/>
        </w:rPr>
        <w:t>Шенген</w:t>
      </w:r>
      <w:proofErr w:type="spellEnd"/>
      <w:r w:rsidRPr="00DF7CE4">
        <w:rPr>
          <w:rFonts w:ascii="Cambria" w:eastAsia="Times New Roman" w:hAnsi="Cambria" w:cs="Arial"/>
          <w:sz w:val="24"/>
          <w:szCs w:val="24"/>
          <w:lang w:val="bg-BG" w:eastAsia="fr-FR"/>
        </w:rPr>
        <w:t xml:space="preserve">. Зоната без граници, създадена от тези договори и споразумения, </w:t>
      </w:r>
      <w:r w:rsidRPr="00DF7CE4">
        <w:rPr>
          <w:rFonts w:ascii="Cambria" w:eastAsia="Times New Roman" w:hAnsi="Cambria" w:cs="Arial"/>
          <w:b/>
          <w:bCs/>
          <w:sz w:val="24"/>
          <w:szCs w:val="24"/>
          <w:lang w:val="bg-BG" w:eastAsia="fr-FR"/>
        </w:rPr>
        <w:t>Шенгенското пространство</w:t>
      </w:r>
      <w:r w:rsidRPr="00DF7CE4">
        <w:rPr>
          <w:rFonts w:ascii="Cambria" w:eastAsia="Times New Roman" w:hAnsi="Cambria" w:cs="Arial"/>
          <w:sz w:val="24"/>
          <w:szCs w:val="24"/>
          <w:lang w:val="bg-BG" w:eastAsia="fr-FR"/>
        </w:rPr>
        <w:t xml:space="preserve">, понастоящем обхваща 26 европейски страни (за повече подробности относно Шенгенското пространство, вж. документа с данни относно „Свободно движение на хора“ </w:t>
      </w:r>
      <w:hyperlink r:id="rId17" w:tooltip="2.1.3" w:history="1">
        <w:r w:rsidRPr="00DF7CE4">
          <w:rPr>
            <w:rFonts w:ascii="Cambria" w:eastAsia="Times New Roman" w:hAnsi="Cambria" w:cs="Arial"/>
            <w:sz w:val="24"/>
            <w:szCs w:val="24"/>
            <w:lang w:val="bg-BG" w:eastAsia="fr-FR"/>
          </w:rPr>
          <w:t>2.1.3</w:t>
        </w:r>
      </w:hyperlink>
      <w:r w:rsidRPr="00DF7CE4">
        <w:rPr>
          <w:rFonts w:ascii="Cambria" w:eastAsia="Times New Roman" w:hAnsi="Cambria" w:cs="Arial"/>
          <w:sz w:val="24"/>
          <w:szCs w:val="24"/>
          <w:lang w:val="bg-BG" w:eastAsia="fr-FR"/>
        </w:rPr>
        <w:t>).</w:t>
      </w:r>
    </w:p>
    <w:p w:rsidR="008743AF" w:rsidRPr="00DF7CE4" w:rsidRDefault="008743AF" w:rsidP="00DF7CE4">
      <w:pPr>
        <w:shd w:val="clear" w:color="auto" w:fill="FFFFFF"/>
        <w:spacing w:after="120" w:line="240" w:lineRule="auto"/>
        <w:jc w:val="both"/>
        <w:outlineLvl w:val="4"/>
        <w:rPr>
          <w:rFonts w:ascii="Cambria" w:eastAsia="Times New Roman" w:hAnsi="Cambria" w:cs="Arial"/>
          <w:sz w:val="24"/>
          <w:szCs w:val="24"/>
          <w:lang w:val="bg-BG" w:eastAsia="fr-FR"/>
        </w:rPr>
      </w:pPr>
      <w:r w:rsidRPr="00DF7CE4">
        <w:rPr>
          <w:rFonts w:ascii="Cambria" w:eastAsia="Times New Roman" w:hAnsi="Cambria" w:cs="Arial"/>
          <w:b/>
          <w:bCs/>
          <w:caps/>
          <w:sz w:val="24"/>
          <w:szCs w:val="24"/>
          <w:lang w:val="bg-BG" w:eastAsia="fr-FR"/>
        </w:rPr>
        <w:t xml:space="preserve">а. </w:t>
      </w:r>
      <w:r w:rsidRPr="00DF7CE4">
        <w:rPr>
          <w:rFonts w:ascii="Cambria" w:eastAsia="Times New Roman" w:hAnsi="Cambria" w:cs="Arial"/>
          <w:sz w:val="24"/>
          <w:szCs w:val="24"/>
          <w:lang w:val="bg-BG" w:eastAsia="fr-FR"/>
        </w:rPr>
        <w:t xml:space="preserve">Изграждането на достиженията на правото от </w:t>
      </w:r>
      <w:proofErr w:type="spellStart"/>
      <w:r w:rsidRPr="00DF7CE4">
        <w:rPr>
          <w:rFonts w:ascii="Cambria" w:eastAsia="Times New Roman" w:hAnsi="Cambria" w:cs="Arial"/>
          <w:sz w:val="24"/>
          <w:szCs w:val="24"/>
          <w:lang w:val="bg-BG" w:eastAsia="fr-FR"/>
        </w:rPr>
        <w:t>Шенген</w:t>
      </w:r>
      <w:proofErr w:type="spellEnd"/>
      <w:r w:rsidRPr="00DF7CE4">
        <w:rPr>
          <w:rFonts w:ascii="Cambria" w:eastAsia="Times New Roman" w:hAnsi="Cambria" w:cs="Arial"/>
          <w:sz w:val="24"/>
          <w:szCs w:val="24"/>
          <w:lang w:val="bg-BG" w:eastAsia="fr-FR"/>
        </w:rPr>
        <w:t xml:space="preserve"> относно външните граници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Правилата, които формират днешните достижения на правото от </w:t>
      </w:r>
      <w:proofErr w:type="spellStart"/>
      <w:r w:rsidRPr="00DF7CE4">
        <w:rPr>
          <w:rFonts w:ascii="Cambria" w:eastAsia="Times New Roman" w:hAnsi="Cambria" w:cs="Arial"/>
          <w:sz w:val="24"/>
          <w:szCs w:val="24"/>
          <w:lang w:val="bg-BG" w:eastAsia="fr-FR"/>
        </w:rPr>
        <w:t>Шенген</w:t>
      </w:r>
      <w:proofErr w:type="spellEnd"/>
      <w:r w:rsidRPr="00DF7CE4">
        <w:rPr>
          <w:rFonts w:ascii="Cambria" w:eastAsia="Times New Roman" w:hAnsi="Cambria" w:cs="Arial"/>
          <w:sz w:val="24"/>
          <w:szCs w:val="24"/>
          <w:lang w:val="bg-BG" w:eastAsia="fr-FR"/>
        </w:rPr>
        <w:t xml:space="preserve"> относно външните граници, които </w:t>
      </w:r>
      <w:proofErr w:type="spellStart"/>
      <w:r w:rsidRPr="00DF7CE4">
        <w:rPr>
          <w:rFonts w:ascii="Cambria" w:eastAsia="Times New Roman" w:hAnsi="Cambria" w:cs="Arial"/>
          <w:sz w:val="24"/>
          <w:szCs w:val="24"/>
          <w:lang w:val="bg-BG" w:eastAsia="fr-FR"/>
        </w:rPr>
        <w:t>надграждат</w:t>
      </w:r>
      <w:proofErr w:type="spellEnd"/>
      <w:r w:rsidRPr="00DF7CE4">
        <w:rPr>
          <w:rFonts w:ascii="Cambria" w:eastAsia="Times New Roman" w:hAnsi="Cambria" w:cs="Arial"/>
          <w:sz w:val="24"/>
          <w:szCs w:val="24"/>
          <w:lang w:val="bg-BG" w:eastAsia="fr-FR"/>
        </w:rPr>
        <w:t xml:space="preserve"> първоначалните достижения на правото, включени в правния ред на ЕС с Договора от Амстердам, са видими в широк спектър от мерки. Те могат да бъдат разделени най-общо на пет категории: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Първо, достиженията на правото от </w:t>
      </w:r>
      <w:proofErr w:type="spellStart"/>
      <w:r w:rsidRPr="00DF7CE4">
        <w:rPr>
          <w:rFonts w:ascii="Cambria" w:eastAsia="Times New Roman" w:hAnsi="Cambria" w:cs="Arial"/>
          <w:sz w:val="24"/>
          <w:szCs w:val="24"/>
          <w:lang w:val="bg-BG" w:eastAsia="fr-FR"/>
        </w:rPr>
        <w:t>Шенген</w:t>
      </w:r>
      <w:proofErr w:type="spellEnd"/>
      <w:r w:rsidRPr="00DF7CE4">
        <w:rPr>
          <w:rFonts w:ascii="Cambria" w:eastAsia="Times New Roman" w:hAnsi="Cambria" w:cs="Arial"/>
          <w:sz w:val="24"/>
          <w:szCs w:val="24"/>
          <w:lang w:val="bg-BG" w:eastAsia="fr-FR"/>
        </w:rPr>
        <w:t xml:space="preserve"> относно границите могат да се определят в тесен смисъл: мерки, които установяват граничен контролно-пропускателен режим на външните граници на Шенгенското пространство. Същността на дейността на ЕС в областта на управлението на границите е да гарантира спазването и правилното прилагане на тези мерки. Най-важната част от законодателството в тази категория е </w:t>
      </w:r>
      <w:r w:rsidRPr="00DF7CE4">
        <w:rPr>
          <w:rFonts w:ascii="Cambria" w:eastAsia="Times New Roman" w:hAnsi="Cambria" w:cs="Arial"/>
          <w:b/>
          <w:bCs/>
          <w:sz w:val="24"/>
          <w:szCs w:val="24"/>
          <w:lang w:val="bg-BG" w:eastAsia="fr-FR"/>
        </w:rPr>
        <w:t>Кодекс</w:t>
      </w:r>
      <w:r w:rsidRPr="00DF7CE4">
        <w:rPr>
          <w:rFonts w:ascii="Cambria" w:eastAsia="Times New Roman" w:hAnsi="Cambria" w:cs="Arial"/>
          <w:sz w:val="24"/>
          <w:szCs w:val="24"/>
          <w:lang w:val="bg-BG" w:eastAsia="fr-FR"/>
        </w:rPr>
        <w:t xml:space="preserve"> </w:t>
      </w:r>
      <w:proofErr w:type="spellStart"/>
      <w:r w:rsidRPr="00DF7CE4">
        <w:rPr>
          <w:rFonts w:ascii="Cambria" w:eastAsia="Times New Roman" w:hAnsi="Cambria" w:cs="Arial"/>
          <w:b/>
          <w:bCs/>
          <w:sz w:val="24"/>
          <w:szCs w:val="24"/>
          <w:lang w:val="bg-BG" w:eastAsia="fr-FR"/>
        </w:rPr>
        <w:t>ът</w:t>
      </w:r>
      <w:proofErr w:type="spellEnd"/>
      <w:r w:rsidRPr="00DF7CE4">
        <w:rPr>
          <w:rFonts w:ascii="Cambria" w:eastAsia="Times New Roman" w:hAnsi="Cambria" w:cs="Arial"/>
          <w:sz w:val="24"/>
          <w:szCs w:val="24"/>
          <w:lang w:val="bg-BG" w:eastAsia="fr-FR"/>
        </w:rPr>
        <w:t xml:space="preserve"> </w:t>
      </w:r>
      <w:r w:rsidRPr="00DF7CE4">
        <w:rPr>
          <w:rFonts w:ascii="Cambria" w:eastAsia="Times New Roman" w:hAnsi="Cambria" w:cs="Arial"/>
          <w:b/>
          <w:bCs/>
          <w:sz w:val="24"/>
          <w:szCs w:val="24"/>
          <w:lang w:val="bg-BG" w:eastAsia="fr-FR"/>
        </w:rPr>
        <w:t>на шенгенските граници (КШГ)</w:t>
      </w:r>
      <w:r w:rsidRPr="00DF7CE4">
        <w:rPr>
          <w:rFonts w:ascii="Cambria" w:eastAsia="Times New Roman" w:hAnsi="Cambria" w:cs="Arial"/>
          <w:sz w:val="24"/>
          <w:szCs w:val="24"/>
          <w:lang w:val="bg-BG" w:eastAsia="fr-FR"/>
        </w:rPr>
        <w:t xml:space="preserve">, регулиращ движението на лица през границите на </w:t>
      </w:r>
      <w:proofErr w:type="spellStart"/>
      <w:r w:rsidRPr="00DF7CE4">
        <w:rPr>
          <w:rFonts w:ascii="Cambria" w:eastAsia="Times New Roman" w:hAnsi="Cambria" w:cs="Arial"/>
          <w:sz w:val="24"/>
          <w:szCs w:val="24"/>
          <w:lang w:val="bg-BG" w:eastAsia="fr-FR"/>
        </w:rPr>
        <w:t>Шенген</w:t>
      </w:r>
      <w:proofErr w:type="spellEnd"/>
      <w:r w:rsidRPr="00DF7CE4">
        <w:rPr>
          <w:rFonts w:ascii="Cambria" w:eastAsia="Times New Roman" w:hAnsi="Cambria" w:cs="Arial"/>
          <w:sz w:val="24"/>
          <w:szCs w:val="24"/>
          <w:lang w:val="bg-BG" w:eastAsia="fr-FR"/>
        </w:rPr>
        <w:t xml:space="preserve">. Втората категория законодателни мерки се състои от мерки, които целят да установят степен на споделяне на финансовата тежест по отношение на управлението на външните граници на Шенгенското пространство. При тях най-важният </w:t>
      </w:r>
      <w:r w:rsidRPr="00DF7CE4">
        <w:rPr>
          <w:rFonts w:ascii="Cambria" w:eastAsia="Times New Roman" w:hAnsi="Cambria" w:cs="Arial"/>
          <w:sz w:val="24"/>
          <w:szCs w:val="24"/>
          <w:lang w:val="bg-BG" w:eastAsia="fr-FR"/>
        </w:rPr>
        <w:lastRenderedPageBreak/>
        <w:t xml:space="preserve">инструмент е </w:t>
      </w:r>
      <w:r w:rsidRPr="00DF7CE4">
        <w:rPr>
          <w:rFonts w:ascii="Cambria" w:eastAsia="Times New Roman" w:hAnsi="Cambria" w:cs="Arial"/>
          <w:b/>
          <w:bCs/>
          <w:sz w:val="24"/>
          <w:szCs w:val="24"/>
          <w:lang w:val="bg-BG" w:eastAsia="fr-FR"/>
        </w:rPr>
        <w:t>Фондът за външните граници (ФВГ)</w:t>
      </w:r>
      <w:r w:rsidRPr="00DF7CE4">
        <w:rPr>
          <w:rFonts w:ascii="Cambria" w:eastAsia="Times New Roman" w:hAnsi="Cambria" w:cs="Arial"/>
          <w:sz w:val="24"/>
          <w:szCs w:val="24"/>
          <w:lang w:val="bg-BG" w:eastAsia="fr-FR"/>
        </w:rPr>
        <w:t xml:space="preserve">. Трета категория от мерки се отнася до създаването на централизирани бази данни за целите на миграцията и управлението на границите: </w:t>
      </w:r>
      <w:r w:rsidRPr="00DF7CE4">
        <w:rPr>
          <w:rFonts w:ascii="Cambria" w:eastAsia="Times New Roman" w:hAnsi="Cambria" w:cs="Arial"/>
          <w:b/>
          <w:bCs/>
          <w:sz w:val="24"/>
          <w:szCs w:val="24"/>
          <w:lang w:val="bg-BG" w:eastAsia="fr-FR"/>
        </w:rPr>
        <w:t xml:space="preserve">Шенгенската информационна система (ШИС), Визовата информационна система (ВИС) </w:t>
      </w:r>
      <w:r w:rsidRPr="00DF7CE4">
        <w:rPr>
          <w:rFonts w:ascii="Cambria" w:eastAsia="Times New Roman" w:hAnsi="Cambria" w:cs="Arial"/>
          <w:sz w:val="24"/>
          <w:szCs w:val="24"/>
          <w:lang w:val="bg-BG" w:eastAsia="fr-FR"/>
        </w:rPr>
        <w:t xml:space="preserve">и </w:t>
      </w:r>
      <w:r w:rsidRPr="00DF7CE4">
        <w:rPr>
          <w:rFonts w:ascii="Cambria" w:eastAsia="Times New Roman" w:hAnsi="Cambria" w:cs="Arial"/>
          <w:b/>
          <w:bCs/>
          <w:sz w:val="24"/>
          <w:szCs w:val="24"/>
          <w:lang w:val="bg-BG" w:eastAsia="fr-FR"/>
        </w:rPr>
        <w:t>„</w:t>
      </w:r>
      <w:proofErr w:type="spellStart"/>
      <w:r w:rsidRPr="00DF7CE4">
        <w:rPr>
          <w:rFonts w:ascii="Cambria" w:eastAsia="Times New Roman" w:hAnsi="Cambria" w:cs="Arial"/>
          <w:b/>
          <w:bCs/>
          <w:sz w:val="24"/>
          <w:szCs w:val="24"/>
          <w:lang w:val="bg-BG" w:eastAsia="fr-FR"/>
        </w:rPr>
        <w:t>Евродак</w:t>
      </w:r>
      <w:proofErr w:type="spellEnd"/>
      <w:r w:rsidRPr="00DF7CE4">
        <w:rPr>
          <w:rFonts w:ascii="Cambria" w:eastAsia="Times New Roman" w:hAnsi="Cambria" w:cs="Arial"/>
          <w:b/>
          <w:bCs/>
          <w:sz w:val="24"/>
          <w:szCs w:val="24"/>
          <w:lang w:val="bg-BG" w:eastAsia="fr-FR"/>
        </w:rPr>
        <w:t>“</w:t>
      </w:r>
      <w:r w:rsidRPr="00DF7CE4">
        <w:rPr>
          <w:rFonts w:ascii="Cambria" w:eastAsia="Times New Roman" w:hAnsi="Cambria" w:cs="Arial"/>
          <w:sz w:val="24"/>
          <w:szCs w:val="24"/>
          <w:lang w:val="bg-BG" w:eastAsia="fr-FR"/>
        </w:rPr>
        <w:t xml:space="preserve">, европейската база данни за пръстови отпечатъци за идентифициране на лицата, търсещи убежище, и нелегални имигранти (за повече подробности относно тази база данни, вж. документ с данни относно „Политиката за предоставяне на убежище“, </w:t>
      </w:r>
      <w:hyperlink r:id="rId18" w:tooltip="5.12.2" w:history="1">
        <w:r w:rsidRPr="00DF7CE4">
          <w:rPr>
            <w:rFonts w:ascii="Cambria" w:eastAsia="Times New Roman" w:hAnsi="Cambria" w:cs="Arial"/>
            <w:sz w:val="24"/>
            <w:szCs w:val="24"/>
            <w:lang w:val="bg-BG" w:eastAsia="fr-FR"/>
          </w:rPr>
          <w:t>5.12.2</w:t>
        </w:r>
      </w:hyperlink>
      <w:r w:rsidRPr="00DF7CE4">
        <w:rPr>
          <w:rFonts w:ascii="Cambria" w:eastAsia="Times New Roman" w:hAnsi="Cambria" w:cs="Arial"/>
          <w:sz w:val="24"/>
          <w:szCs w:val="24"/>
          <w:lang w:val="bg-BG" w:eastAsia="fr-FR"/>
        </w:rPr>
        <w:t xml:space="preserve">). Четвъртата категория се състои от мерки, които предотвратяват и санкционират незаконното влизане, преминаване и пребиваване. Петата и последна категория — институционалните мерки за координация на оперативното сътрудничество, е тясно свързана със създаването на оперативно сътрудничество за целите на управлението на външните граници. Крайъгълният камък на това сътрудничество е </w:t>
      </w:r>
      <w:r w:rsidRPr="00DF7CE4">
        <w:rPr>
          <w:rFonts w:ascii="Cambria" w:eastAsia="Times New Roman" w:hAnsi="Cambria" w:cs="Arial"/>
          <w:b/>
          <w:bCs/>
          <w:sz w:val="24"/>
          <w:szCs w:val="24"/>
          <w:lang w:val="bg-BG" w:eastAsia="fr-FR"/>
        </w:rPr>
        <w:t>Европейската агенция за управление на оперативното сътрудничество по външните граници на държавите членки (</w:t>
      </w:r>
      <w:r w:rsidRPr="00DF7CE4">
        <w:rPr>
          <w:rFonts w:ascii="Cambria" w:eastAsia="Times New Roman" w:hAnsi="Cambria" w:cs="Arial"/>
          <w:sz w:val="24"/>
          <w:szCs w:val="24"/>
          <w:lang w:val="bg-BG" w:eastAsia="fr-FR"/>
        </w:rPr>
        <w:t xml:space="preserve"> </w:t>
      </w:r>
      <w:proofErr w:type="spellStart"/>
      <w:r w:rsidRPr="00DF7CE4">
        <w:rPr>
          <w:rFonts w:ascii="Cambria" w:eastAsia="Times New Roman" w:hAnsi="Cambria" w:cs="Arial"/>
          <w:b/>
          <w:bCs/>
          <w:sz w:val="24"/>
          <w:szCs w:val="24"/>
          <w:lang w:val="bg-BG" w:eastAsia="fr-FR"/>
        </w:rPr>
        <w:t>Frontex</w:t>
      </w:r>
      <w:proofErr w:type="spellEnd"/>
      <w:r w:rsidRPr="00DF7CE4">
        <w:rPr>
          <w:rFonts w:ascii="Cambria" w:eastAsia="Times New Roman" w:hAnsi="Cambria" w:cs="Arial"/>
          <w:sz w:val="24"/>
          <w:szCs w:val="24"/>
          <w:lang w:val="bg-BG" w:eastAsia="fr-FR"/>
        </w:rPr>
        <w:t xml:space="preserve"> </w:t>
      </w:r>
      <w:r w:rsidRPr="00DF7CE4">
        <w:rPr>
          <w:rFonts w:ascii="Cambria" w:eastAsia="Times New Roman" w:hAnsi="Cambria" w:cs="Arial"/>
          <w:b/>
          <w:bCs/>
          <w:sz w:val="24"/>
          <w:szCs w:val="24"/>
          <w:lang w:val="bg-BG" w:eastAsia="fr-FR"/>
        </w:rPr>
        <w:t>).</w:t>
      </w:r>
      <w:r w:rsidRPr="00DF7CE4">
        <w:rPr>
          <w:rFonts w:ascii="Cambria" w:eastAsia="Times New Roman" w:hAnsi="Cambria" w:cs="Arial"/>
          <w:sz w:val="24"/>
          <w:szCs w:val="24"/>
          <w:lang w:val="bg-BG" w:eastAsia="fr-FR"/>
        </w:rPr>
        <w:t xml:space="preserve"> </w:t>
      </w:r>
    </w:p>
    <w:p w:rsidR="008743AF" w:rsidRPr="00DF7CE4" w:rsidRDefault="008743AF" w:rsidP="00DF7CE4">
      <w:pPr>
        <w:shd w:val="clear" w:color="auto" w:fill="FFFFFF"/>
        <w:spacing w:after="120" w:line="240" w:lineRule="auto"/>
        <w:jc w:val="both"/>
        <w:outlineLvl w:val="5"/>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1.</w:t>
      </w:r>
      <w:r w:rsidRPr="00DF7CE4">
        <w:rPr>
          <w:rFonts w:ascii="Cambria" w:eastAsia="Times New Roman" w:hAnsi="Cambria" w:cs="Arial"/>
          <w:sz w:val="24"/>
          <w:szCs w:val="24"/>
          <w:lang w:val="bg-BG" w:eastAsia="fr-FR"/>
        </w:rPr>
        <w:t>Шенгенската информационна система (ШИС)</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Шенгенската информационна (ШИС) система е гръбнакът на шенгенското пространство. На оперативно равнище ШИС е най-голямата обща база данни за поддържане на обществената сигурност, за подпомагане на полицейското и съдебното сътрудничество и за управление на контрола на външните граници. Участващите държави подават сигнали за търсени или изчезнали лица, за изгубена или открадната собственост и за забрани за влизане. ШИС е пряко достъпна за всички полицейски служители и други служители на </w:t>
      </w:r>
      <w:proofErr w:type="spellStart"/>
      <w:r w:rsidRPr="00DF7CE4">
        <w:rPr>
          <w:rFonts w:ascii="Cambria" w:eastAsia="Times New Roman" w:hAnsi="Cambria" w:cs="Arial"/>
          <w:sz w:val="24"/>
          <w:szCs w:val="24"/>
          <w:lang w:val="bg-BG" w:eastAsia="fr-FR"/>
        </w:rPr>
        <w:t>правоприлагащите</w:t>
      </w:r>
      <w:proofErr w:type="spellEnd"/>
      <w:r w:rsidRPr="00DF7CE4">
        <w:rPr>
          <w:rFonts w:ascii="Cambria" w:eastAsia="Times New Roman" w:hAnsi="Cambria" w:cs="Arial"/>
          <w:sz w:val="24"/>
          <w:szCs w:val="24"/>
          <w:lang w:val="bg-BG" w:eastAsia="fr-FR"/>
        </w:rPr>
        <w:t xml:space="preserve"> органи и за </w:t>
      </w:r>
      <w:proofErr w:type="spellStart"/>
      <w:r w:rsidRPr="00DF7CE4">
        <w:rPr>
          <w:rFonts w:ascii="Cambria" w:eastAsia="Times New Roman" w:hAnsi="Cambria" w:cs="Arial"/>
          <w:sz w:val="24"/>
          <w:szCs w:val="24"/>
          <w:lang w:val="bg-BG" w:eastAsia="fr-FR"/>
        </w:rPr>
        <w:t>правоприлагащите</w:t>
      </w:r>
      <w:proofErr w:type="spellEnd"/>
      <w:r w:rsidRPr="00DF7CE4">
        <w:rPr>
          <w:rFonts w:ascii="Cambria" w:eastAsia="Times New Roman" w:hAnsi="Cambria" w:cs="Arial"/>
          <w:sz w:val="24"/>
          <w:szCs w:val="24"/>
          <w:lang w:val="bg-BG" w:eastAsia="fr-FR"/>
        </w:rPr>
        <w:t xml:space="preserve"> органи, които се нуждаят от информация, обработена от системата, за да изпълняват своите задължения. За обмена на допълнителна информация за сигналите в ШИС отговаря постоянна структура на национално ниво, наречена </w:t>
      </w:r>
      <w:r w:rsidRPr="00DF7CE4">
        <w:rPr>
          <w:rFonts w:ascii="Cambria" w:eastAsia="Times New Roman" w:hAnsi="Cambria" w:cs="Arial"/>
          <w:b/>
          <w:bCs/>
          <w:sz w:val="24"/>
          <w:szCs w:val="24"/>
          <w:lang w:val="bg-BG" w:eastAsia="fr-FR"/>
        </w:rPr>
        <w:t>„SIRENE“</w:t>
      </w:r>
      <w:r w:rsidRPr="00DF7CE4">
        <w:rPr>
          <w:rFonts w:ascii="Cambria" w:eastAsia="Times New Roman" w:hAnsi="Cambria" w:cs="Arial"/>
          <w:sz w:val="24"/>
          <w:szCs w:val="24"/>
          <w:lang w:val="bg-BG" w:eastAsia="fr-FR"/>
        </w:rPr>
        <w:t xml:space="preserve"> (</w:t>
      </w:r>
      <w:proofErr w:type="spellStart"/>
      <w:r w:rsidRPr="00DF7CE4">
        <w:rPr>
          <w:rFonts w:ascii="Cambria" w:eastAsia="Times New Roman" w:hAnsi="Cambria" w:cs="Arial"/>
          <w:sz w:val="24"/>
          <w:szCs w:val="24"/>
          <w:lang w:val="bg-BG" w:eastAsia="fr-FR"/>
        </w:rPr>
        <w:t>Supplementary</w:t>
      </w:r>
      <w:proofErr w:type="spellEnd"/>
      <w:r w:rsidRPr="00DF7CE4">
        <w:rPr>
          <w:rFonts w:ascii="Cambria" w:eastAsia="Times New Roman" w:hAnsi="Cambria" w:cs="Arial"/>
          <w:sz w:val="24"/>
          <w:szCs w:val="24"/>
          <w:lang w:val="bg-BG" w:eastAsia="fr-FR"/>
        </w:rPr>
        <w:t xml:space="preserve"> </w:t>
      </w:r>
      <w:proofErr w:type="spellStart"/>
      <w:r w:rsidRPr="00DF7CE4">
        <w:rPr>
          <w:rFonts w:ascii="Cambria" w:eastAsia="Times New Roman" w:hAnsi="Cambria" w:cs="Arial"/>
          <w:sz w:val="24"/>
          <w:szCs w:val="24"/>
          <w:lang w:val="bg-BG" w:eastAsia="fr-FR"/>
        </w:rPr>
        <w:t>Information</w:t>
      </w:r>
      <w:proofErr w:type="spellEnd"/>
      <w:r w:rsidRPr="00DF7CE4">
        <w:rPr>
          <w:rFonts w:ascii="Cambria" w:eastAsia="Times New Roman" w:hAnsi="Cambria" w:cs="Arial"/>
          <w:sz w:val="24"/>
          <w:szCs w:val="24"/>
          <w:lang w:val="bg-BG" w:eastAsia="fr-FR"/>
        </w:rPr>
        <w:t xml:space="preserve"> </w:t>
      </w:r>
      <w:proofErr w:type="spellStart"/>
      <w:r w:rsidRPr="00DF7CE4">
        <w:rPr>
          <w:rFonts w:ascii="Cambria" w:eastAsia="Times New Roman" w:hAnsi="Cambria" w:cs="Arial"/>
          <w:sz w:val="24"/>
          <w:szCs w:val="24"/>
          <w:lang w:val="bg-BG" w:eastAsia="fr-FR"/>
        </w:rPr>
        <w:t>Request</w:t>
      </w:r>
      <w:proofErr w:type="spellEnd"/>
      <w:r w:rsidRPr="00DF7CE4">
        <w:rPr>
          <w:rFonts w:ascii="Cambria" w:eastAsia="Times New Roman" w:hAnsi="Cambria" w:cs="Arial"/>
          <w:sz w:val="24"/>
          <w:szCs w:val="24"/>
          <w:lang w:val="bg-BG" w:eastAsia="fr-FR"/>
        </w:rPr>
        <w:t xml:space="preserve"> </w:t>
      </w:r>
      <w:proofErr w:type="spellStart"/>
      <w:r w:rsidRPr="00DF7CE4">
        <w:rPr>
          <w:rFonts w:ascii="Cambria" w:eastAsia="Times New Roman" w:hAnsi="Cambria" w:cs="Arial"/>
          <w:sz w:val="24"/>
          <w:szCs w:val="24"/>
          <w:lang w:val="bg-BG" w:eastAsia="fr-FR"/>
        </w:rPr>
        <w:t>at</w:t>
      </w:r>
      <w:proofErr w:type="spellEnd"/>
      <w:r w:rsidRPr="00DF7CE4">
        <w:rPr>
          <w:rFonts w:ascii="Cambria" w:eastAsia="Times New Roman" w:hAnsi="Cambria" w:cs="Arial"/>
          <w:sz w:val="24"/>
          <w:szCs w:val="24"/>
          <w:lang w:val="bg-BG" w:eastAsia="fr-FR"/>
        </w:rPr>
        <w:t xml:space="preserve"> </w:t>
      </w:r>
      <w:proofErr w:type="spellStart"/>
      <w:r w:rsidRPr="00DF7CE4">
        <w:rPr>
          <w:rFonts w:ascii="Cambria" w:eastAsia="Times New Roman" w:hAnsi="Cambria" w:cs="Arial"/>
          <w:sz w:val="24"/>
          <w:szCs w:val="24"/>
          <w:lang w:val="bg-BG" w:eastAsia="fr-FR"/>
        </w:rPr>
        <w:t>the</w:t>
      </w:r>
      <w:proofErr w:type="spellEnd"/>
      <w:r w:rsidRPr="00DF7CE4">
        <w:rPr>
          <w:rFonts w:ascii="Cambria" w:eastAsia="Times New Roman" w:hAnsi="Cambria" w:cs="Arial"/>
          <w:sz w:val="24"/>
          <w:szCs w:val="24"/>
          <w:lang w:val="bg-BG" w:eastAsia="fr-FR"/>
        </w:rPr>
        <w:t xml:space="preserve"> National </w:t>
      </w:r>
      <w:proofErr w:type="spellStart"/>
      <w:r w:rsidRPr="00DF7CE4">
        <w:rPr>
          <w:rFonts w:ascii="Cambria" w:eastAsia="Times New Roman" w:hAnsi="Cambria" w:cs="Arial"/>
          <w:sz w:val="24"/>
          <w:szCs w:val="24"/>
          <w:lang w:val="bg-BG" w:eastAsia="fr-FR"/>
        </w:rPr>
        <w:t>Entries</w:t>
      </w:r>
      <w:proofErr w:type="spellEnd"/>
      <w:r w:rsidRPr="00DF7CE4">
        <w:rPr>
          <w:rFonts w:ascii="Cambria" w:eastAsia="Times New Roman" w:hAnsi="Cambria" w:cs="Arial"/>
          <w:sz w:val="24"/>
          <w:szCs w:val="24"/>
          <w:lang w:val="bg-BG" w:eastAsia="fr-FR"/>
        </w:rPr>
        <w:t xml:space="preserve"> — „Искане за допълнителна информация във връзка с националните сигнали“). Във всички държави от </w:t>
      </w:r>
      <w:proofErr w:type="spellStart"/>
      <w:r w:rsidRPr="00DF7CE4">
        <w:rPr>
          <w:rFonts w:ascii="Cambria" w:eastAsia="Times New Roman" w:hAnsi="Cambria" w:cs="Arial"/>
          <w:sz w:val="24"/>
          <w:szCs w:val="24"/>
          <w:lang w:val="bg-BG" w:eastAsia="fr-FR"/>
        </w:rPr>
        <w:t>Шенген</w:t>
      </w:r>
      <w:proofErr w:type="spellEnd"/>
      <w:r w:rsidRPr="00DF7CE4">
        <w:rPr>
          <w:rFonts w:ascii="Cambria" w:eastAsia="Times New Roman" w:hAnsi="Cambria" w:cs="Arial"/>
          <w:sz w:val="24"/>
          <w:szCs w:val="24"/>
          <w:lang w:val="bg-BG" w:eastAsia="fr-FR"/>
        </w:rPr>
        <w:t xml:space="preserve"> има бюра SIRENE. Тяхната задача е да координират мерките, свързани със сигналите, подадени в Шенгенската информационна система (ШИС), и да осигуряват предприемане на необходимите действия в случаи като следните: задържано е издирвано лице, лице, на което е отказано влизане в шенгенското пространство, прави опит за повторно влизане, изчезнало лице е намерено, открадната кола или документ за самоличност са задържани и т.н. Въвеждането на второ поколение Шенгенска информационна система (</w:t>
      </w:r>
      <w:r w:rsidRPr="00DF7CE4">
        <w:rPr>
          <w:rFonts w:ascii="Cambria" w:eastAsia="Times New Roman" w:hAnsi="Cambria" w:cs="Arial"/>
          <w:b/>
          <w:bCs/>
          <w:sz w:val="24"/>
          <w:szCs w:val="24"/>
          <w:lang w:val="bg-BG" w:eastAsia="fr-FR"/>
        </w:rPr>
        <w:t>ШИС II</w:t>
      </w:r>
      <w:r w:rsidRPr="00DF7CE4">
        <w:rPr>
          <w:rFonts w:ascii="Cambria" w:eastAsia="Times New Roman" w:hAnsi="Cambria" w:cs="Arial"/>
          <w:sz w:val="24"/>
          <w:szCs w:val="24"/>
          <w:lang w:val="bg-BG" w:eastAsia="fr-FR"/>
        </w:rPr>
        <w:t xml:space="preserve">), с нови функции и характеристики като биометрични данни и </w:t>
      </w:r>
      <w:proofErr w:type="spellStart"/>
      <w:r w:rsidRPr="00DF7CE4">
        <w:rPr>
          <w:rFonts w:ascii="Cambria" w:eastAsia="Times New Roman" w:hAnsi="Cambria" w:cs="Arial"/>
          <w:sz w:val="24"/>
          <w:szCs w:val="24"/>
          <w:lang w:val="bg-BG" w:eastAsia="fr-FR"/>
        </w:rPr>
        <w:t>взаимосвързване</w:t>
      </w:r>
      <w:proofErr w:type="spellEnd"/>
      <w:r w:rsidRPr="00DF7CE4">
        <w:rPr>
          <w:rFonts w:ascii="Cambria" w:eastAsia="Times New Roman" w:hAnsi="Cambria" w:cs="Arial"/>
          <w:sz w:val="24"/>
          <w:szCs w:val="24"/>
          <w:lang w:val="bg-BG" w:eastAsia="fr-FR"/>
        </w:rPr>
        <w:t xml:space="preserve"> на сигнали, което първоначално беше предвидено за 2007 г., беше значително забавено поради техническата сложност на системата. Тя започна работа на 9 април 2013 г. Тя се управлява, заедно с ВИС и </w:t>
      </w:r>
      <w:proofErr w:type="spellStart"/>
      <w:r w:rsidRPr="00DF7CE4">
        <w:rPr>
          <w:rFonts w:ascii="Cambria" w:eastAsia="Times New Roman" w:hAnsi="Cambria" w:cs="Arial"/>
          <w:sz w:val="24"/>
          <w:szCs w:val="24"/>
          <w:lang w:val="bg-BG" w:eastAsia="fr-FR"/>
        </w:rPr>
        <w:t>Евродак</w:t>
      </w:r>
      <w:proofErr w:type="spellEnd"/>
      <w:r w:rsidRPr="00DF7CE4">
        <w:rPr>
          <w:rFonts w:ascii="Cambria" w:eastAsia="Times New Roman" w:hAnsi="Cambria" w:cs="Arial"/>
          <w:sz w:val="24"/>
          <w:szCs w:val="24"/>
          <w:lang w:val="bg-BG" w:eastAsia="fr-FR"/>
        </w:rPr>
        <w:t xml:space="preserve">, от новата </w:t>
      </w:r>
      <w:r w:rsidRPr="00DF7CE4">
        <w:rPr>
          <w:rFonts w:ascii="Cambria" w:eastAsia="Times New Roman" w:hAnsi="Cambria" w:cs="Arial"/>
          <w:b/>
          <w:bCs/>
          <w:sz w:val="24"/>
          <w:szCs w:val="24"/>
          <w:lang w:val="bg-BG" w:eastAsia="fr-FR"/>
        </w:rPr>
        <w:t xml:space="preserve">Агенция на ЕС за оперативно управление на </w:t>
      </w:r>
      <w:proofErr w:type="spellStart"/>
      <w:r w:rsidRPr="00DF7CE4">
        <w:rPr>
          <w:rFonts w:ascii="Cambria" w:eastAsia="Times New Roman" w:hAnsi="Cambria" w:cs="Arial"/>
          <w:b/>
          <w:bCs/>
          <w:sz w:val="24"/>
          <w:szCs w:val="24"/>
          <w:lang w:val="bg-BG" w:eastAsia="fr-FR"/>
        </w:rPr>
        <w:t>широкомащабни</w:t>
      </w:r>
      <w:proofErr w:type="spellEnd"/>
      <w:r w:rsidRPr="00DF7CE4">
        <w:rPr>
          <w:rFonts w:ascii="Cambria" w:eastAsia="Times New Roman" w:hAnsi="Cambria" w:cs="Arial"/>
          <w:b/>
          <w:bCs/>
          <w:sz w:val="24"/>
          <w:szCs w:val="24"/>
          <w:lang w:val="bg-BG" w:eastAsia="fr-FR"/>
        </w:rPr>
        <w:t xml:space="preserve"> информационни системи.</w:t>
      </w:r>
      <w:r w:rsidRPr="00DF7CE4">
        <w:rPr>
          <w:rFonts w:ascii="Cambria" w:eastAsia="Times New Roman" w:hAnsi="Cambria" w:cs="Arial"/>
          <w:sz w:val="24"/>
          <w:szCs w:val="24"/>
          <w:lang w:val="bg-BG" w:eastAsia="fr-FR"/>
        </w:rPr>
        <w:t xml:space="preserve"> </w:t>
      </w:r>
    </w:p>
    <w:p w:rsidR="008743AF" w:rsidRPr="00DF7CE4" w:rsidRDefault="008743AF" w:rsidP="00DF7CE4">
      <w:pPr>
        <w:shd w:val="clear" w:color="auto" w:fill="FFFFFF"/>
        <w:spacing w:after="120" w:line="240" w:lineRule="auto"/>
        <w:jc w:val="both"/>
        <w:outlineLvl w:val="5"/>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2.</w:t>
      </w:r>
      <w:r w:rsidRPr="00DF7CE4">
        <w:rPr>
          <w:rFonts w:ascii="Cambria" w:eastAsia="Times New Roman" w:hAnsi="Cambria" w:cs="Arial"/>
          <w:sz w:val="24"/>
          <w:szCs w:val="24"/>
          <w:lang w:val="bg-BG" w:eastAsia="fr-FR"/>
        </w:rPr>
        <w:t>Визова информационна система (ВИС)</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Целта на ВИС, която е все още във фаза на изграждане, е да подобри прилагането на общата визова политика, консулското сътрудничество и консултациите между централните органи за издаване на визи. Щом веднъж започне да функционира изцяло, ВИС ще бъде свързана с всички издаващи визи консулства на държавите от </w:t>
      </w:r>
      <w:proofErr w:type="spellStart"/>
      <w:r w:rsidRPr="00DF7CE4">
        <w:rPr>
          <w:rFonts w:ascii="Cambria" w:eastAsia="Times New Roman" w:hAnsi="Cambria" w:cs="Arial"/>
          <w:sz w:val="24"/>
          <w:szCs w:val="24"/>
          <w:lang w:val="bg-BG" w:eastAsia="fr-FR"/>
        </w:rPr>
        <w:t>Шенген</w:t>
      </w:r>
      <w:proofErr w:type="spellEnd"/>
      <w:r w:rsidRPr="00DF7CE4">
        <w:rPr>
          <w:rFonts w:ascii="Cambria" w:eastAsia="Times New Roman" w:hAnsi="Cambria" w:cs="Arial"/>
          <w:sz w:val="24"/>
          <w:szCs w:val="24"/>
          <w:lang w:val="bg-BG" w:eastAsia="fr-FR"/>
        </w:rPr>
        <w:t xml:space="preserve"> и с всички техни външни гранично-пропускателни пунктове. На тези </w:t>
      </w:r>
      <w:r w:rsidRPr="00DF7CE4">
        <w:rPr>
          <w:rFonts w:ascii="Cambria" w:eastAsia="Times New Roman" w:hAnsi="Cambria" w:cs="Arial"/>
          <w:sz w:val="24"/>
          <w:szCs w:val="24"/>
          <w:lang w:val="bg-BG" w:eastAsia="fr-FR"/>
        </w:rPr>
        <w:lastRenderedPageBreak/>
        <w:t xml:space="preserve">гранични точки ВИС позволява на граничната охрана да проверява дали лицето, притежател на биометрична виза е същото лице, кандидатствало за нея. Първата проверка се състои от потвърждаване, че пръстовите отпечатъци, сканирани на граничния контролно-пропускателен пункт, съответстват на тези от биометричния запис, прикрепен към визата. Втората проверка за идентификация се състои от сравняване на пръстовите отпечатъци, взети на гранично-пропускателния пункт със съдържанието на цялата база данни на ВИС, която се очаква да стане най-голямата биометрична база данни в света, когато достигне пълния си капацитет. В системата са вградени високи нива на сигурност, за да се гарантира, че тя остава стабилна, че е на разположение по всяко време и че данните са достъпни само за упълномощени лица за разрешени цели. ВИС не беше започна да се използва едновременно от всички консулства на държави от </w:t>
      </w:r>
      <w:proofErr w:type="spellStart"/>
      <w:r w:rsidRPr="00DF7CE4">
        <w:rPr>
          <w:rFonts w:ascii="Cambria" w:eastAsia="Times New Roman" w:hAnsi="Cambria" w:cs="Arial"/>
          <w:sz w:val="24"/>
          <w:szCs w:val="24"/>
          <w:lang w:val="bg-BG" w:eastAsia="fr-FR"/>
        </w:rPr>
        <w:t>Шенген</w:t>
      </w:r>
      <w:proofErr w:type="spellEnd"/>
      <w:r w:rsidRPr="00DF7CE4">
        <w:rPr>
          <w:rFonts w:ascii="Cambria" w:eastAsia="Times New Roman" w:hAnsi="Cambria" w:cs="Arial"/>
          <w:sz w:val="24"/>
          <w:szCs w:val="24"/>
          <w:lang w:val="bg-BG" w:eastAsia="fr-FR"/>
        </w:rPr>
        <w:t xml:space="preserve"> по света, а се въвежда поетапно регион по регион. Тя започна работа във всички издаващи визи консулства на държави от </w:t>
      </w:r>
      <w:proofErr w:type="spellStart"/>
      <w:r w:rsidRPr="00DF7CE4">
        <w:rPr>
          <w:rFonts w:ascii="Cambria" w:eastAsia="Times New Roman" w:hAnsi="Cambria" w:cs="Arial"/>
          <w:sz w:val="24"/>
          <w:szCs w:val="24"/>
          <w:lang w:val="bg-BG" w:eastAsia="fr-FR"/>
        </w:rPr>
        <w:t>Шенген</w:t>
      </w:r>
      <w:proofErr w:type="spellEnd"/>
      <w:r w:rsidRPr="00DF7CE4">
        <w:rPr>
          <w:rFonts w:ascii="Cambria" w:eastAsia="Times New Roman" w:hAnsi="Cambria" w:cs="Arial"/>
          <w:sz w:val="24"/>
          <w:szCs w:val="24"/>
          <w:lang w:val="bg-BG" w:eastAsia="fr-FR"/>
        </w:rPr>
        <w:t xml:space="preserve"> в Северна Африка през октомври 2011 г., в Близкия изток през май 2012 г. и в региона на Залива през октомври 2012 г. Поне още две години ще са необходими, за да може работата на системата да обхване целия свят.</w:t>
      </w:r>
    </w:p>
    <w:p w:rsidR="008743AF" w:rsidRPr="00DF7CE4" w:rsidRDefault="008743AF" w:rsidP="00DF7CE4">
      <w:pPr>
        <w:shd w:val="clear" w:color="auto" w:fill="FFFFFF"/>
        <w:spacing w:after="120" w:line="240" w:lineRule="auto"/>
        <w:jc w:val="both"/>
        <w:outlineLvl w:val="5"/>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3.</w:t>
      </w:r>
      <w:proofErr w:type="spellStart"/>
      <w:r w:rsidRPr="00DF7CE4">
        <w:rPr>
          <w:rFonts w:ascii="Cambria" w:eastAsia="Times New Roman" w:hAnsi="Cambria" w:cs="Arial"/>
          <w:sz w:val="24"/>
          <w:szCs w:val="24"/>
          <w:lang w:val="bg-BG" w:eastAsia="fr-FR"/>
        </w:rPr>
        <w:t>Frontex</w:t>
      </w:r>
      <w:proofErr w:type="spellEnd"/>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Подобно на европейската структура на вътрешна сигурност, която постепенно се развива чрез ежедневното Шенгенско сътрудничество, правни актове като Договорът от Амстердам, и политическите насоки от Европейските съвети, проведени в Тампере, </w:t>
      </w:r>
      <w:proofErr w:type="spellStart"/>
      <w:r w:rsidRPr="00DF7CE4">
        <w:rPr>
          <w:rFonts w:ascii="Cambria" w:eastAsia="Times New Roman" w:hAnsi="Cambria" w:cs="Arial"/>
          <w:sz w:val="24"/>
          <w:szCs w:val="24"/>
          <w:lang w:val="bg-BG" w:eastAsia="fr-FR"/>
        </w:rPr>
        <w:t>Лаакен</w:t>
      </w:r>
      <w:proofErr w:type="spellEnd"/>
      <w:r w:rsidRPr="00DF7CE4">
        <w:rPr>
          <w:rFonts w:ascii="Cambria" w:eastAsia="Times New Roman" w:hAnsi="Cambria" w:cs="Arial"/>
          <w:sz w:val="24"/>
          <w:szCs w:val="24"/>
          <w:lang w:val="bg-BG" w:eastAsia="fr-FR"/>
        </w:rPr>
        <w:t>, Севиля и Солун, граничната сигурност също еволюира, започвайки от национално насочени системи на базата на суверенитета на всяка държава, и се развива към оперативно сътрудничество по външните граници. Въпреки че отговорността за контрола и наблюдението на външните граници продължава да е на държавите членки, националните системи за сигурност на границите се допълват все повече от единен набор от използвани в цяла Европа ефективни инструменти за управление на потенциалните рискове по външните граници.</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Един от ключовите елементи на този процес е Европейската агенция за управление на оперативното сътрудничество по външните граници на държавите членки на Европейския съюз (</w:t>
      </w:r>
      <w:proofErr w:type="spellStart"/>
      <w:r w:rsidRPr="00DF7CE4">
        <w:rPr>
          <w:rFonts w:ascii="Cambria" w:eastAsia="Times New Roman" w:hAnsi="Cambria" w:cs="Arial"/>
          <w:sz w:val="24"/>
          <w:szCs w:val="24"/>
          <w:lang w:val="bg-BG" w:eastAsia="fr-FR"/>
        </w:rPr>
        <w:t>Frontex</w:t>
      </w:r>
      <w:proofErr w:type="spellEnd"/>
      <w:r w:rsidRPr="00DF7CE4">
        <w:rPr>
          <w:rFonts w:ascii="Cambria" w:eastAsia="Times New Roman" w:hAnsi="Cambria" w:cs="Arial"/>
          <w:sz w:val="24"/>
          <w:szCs w:val="24"/>
          <w:lang w:val="bg-BG" w:eastAsia="fr-FR"/>
        </w:rPr>
        <w:t xml:space="preserve">). Тази агенция започна работа на 3 октомври 2005 г., въз основа на Регламент (ЕО) № 2007/2004 на Съвета. Агенцията разполага със 160 експерти и седалището ѝ </w:t>
      </w:r>
      <w:r w:rsidRPr="00DF7CE4">
        <w:rPr>
          <w:rFonts w:ascii="Cambria" w:eastAsia="Times New Roman" w:hAnsi="Cambria" w:cs="Arial Narrow"/>
          <w:sz w:val="24"/>
          <w:szCs w:val="24"/>
          <w:lang w:val="bg-BG" w:eastAsia="fr-FR"/>
        </w:rPr>
        <w:t>е</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във</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Варшава</w:t>
      </w:r>
      <w:r w:rsidRPr="00DF7CE4">
        <w:rPr>
          <w:rFonts w:ascii="Cambria" w:eastAsia="Times New Roman" w:hAnsi="Cambria" w:cs="Arial"/>
          <w:sz w:val="24"/>
          <w:szCs w:val="24"/>
          <w:lang w:val="bg-BG" w:eastAsia="fr-FR"/>
        </w:rPr>
        <w:t>.</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proofErr w:type="spellStart"/>
      <w:r w:rsidRPr="00DF7CE4">
        <w:rPr>
          <w:rFonts w:ascii="Cambria" w:eastAsia="Times New Roman" w:hAnsi="Cambria" w:cs="Arial"/>
          <w:sz w:val="24"/>
          <w:szCs w:val="24"/>
          <w:lang w:val="bg-BG" w:eastAsia="fr-FR"/>
        </w:rPr>
        <w:t>Frontex</w:t>
      </w:r>
      <w:proofErr w:type="spellEnd"/>
      <w:r w:rsidRPr="00DF7CE4">
        <w:rPr>
          <w:rFonts w:ascii="Cambria" w:eastAsia="Times New Roman" w:hAnsi="Cambria" w:cs="Arial"/>
          <w:sz w:val="24"/>
          <w:szCs w:val="24"/>
          <w:lang w:val="bg-BG" w:eastAsia="fr-FR"/>
        </w:rPr>
        <w:t xml:space="preserve"> насърчава общоевропейски модел за интегрирана гранична сигурност, който повишава сигурността на границите чрез осигуряване на координация на оперативното сътрудничество на държавите членки. Агенцията отговаря за няколко области, посочени в регламента за </w:t>
      </w:r>
      <w:proofErr w:type="spellStart"/>
      <w:r w:rsidRPr="00DF7CE4">
        <w:rPr>
          <w:rFonts w:ascii="Cambria" w:eastAsia="Times New Roman" w:hAnsi="Cambria" w:cs="Arial"/>
          <w:sz w:val="24"/>
          <w:szCs w:val="24"/>
          <w:lang w:val="bg-BG" w:eastAsia="fr-FR"/>
        </w:rPr>
        <w:t>Frontex</w:t>
      </w:r>
      <w:proofErr w:type="spellEnd"/>
      <w:r w:rsidRPr="00DF7CE4">
        <w:rPr>
          <w:rFonts w:ascii="Cambria" w:eastAsia="Times New Roman" w:hAnsi="Cambria" w:cs="Arial"/>
          <w:sz w:val="24"/>
          <w:szCs w:val="24"/>
          <w:lang w:val="bg-BG" w:eastAsia="fr-FR"/>
        </w:rPr>
        <w:t xml:space="preserve">, със специално внимание към извършването на анализ на риска, координиране на оперативното сътрудничество между държавите членки в областта на управлението на границите и предоставяне на необходимата подкрепа на държавите членки при организиране на операции по връщане. Регламент (ЕС) № 1168/2011 от 25 октомври 2011 година за изменение на Регламент (ЕО) № 2007/2004 на Съвета поднови мандата на </w:t>
      </w:r>
      <w:proofErr w:type="spellStart"/>
      <w:r w:rsidRPr="00DF7CE4">
        <w:rPr>
          <w:rFonts w:ascii="Cambria" w:eastAsia="Times New Roman" w:hAnsi="Cambria" w:cs="Arial"/>
          <w:sz w:val="24"/>
          <w:szCs w:val="24"/>
          <w:lang w:val="bg-BG" w:eastAsia="fr-FR"/>
        </w:rPr>
        <w:t>Frontex</w:t>
      </w:r>
      <w:proofErr w:type="spellEnd"/>
      <w:r w:rsidRPr="00DF7CE4">
        <w:rPr>
          <w:rFonts w:ascii="Cambria" w:eastAsia="Times New Roman" w:hAnsi="Cambria" w:cs="Arial"/>
          <w:sz w:val="24"/>
          <w:szCs w:val="24"/>
          <w:lang w:val="bg-BG" w:eastAsia="fr-FR"/>
        </w:rPr>
        <w:t xml:space="preserve"> като укрепи оперативните ѝ </w:t>
      </w:r>
      <w:r w:rsidRPr="00DF7CE4">
        <w:rPr>
          <w:rFonts w:ascii="Cambria" w:eastAsia="Times New Roman" w:hAnsi="Cambria" w:cs="Arial Narrow"/>
          <w:sz w:val="24"/>
          <w:szCs w:val="24"/>
          <w:lang w:val="bg-BG" w:eastAsia="fr-FR"/>
        </w:rPr>
        <w:t>способности</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в</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редица</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области</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и</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като</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осигури</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изпълнението</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на</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задачите</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на</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агенцията</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при</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пълно</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спазване</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на</w:t>
      </w:r>
      <w:r w:rsidRPr="00DF7CE4">
        <w:rPr>
          <w:rFonts w:ascii="Cambria" w:eastAsia="Times New Roman" w:hAnsi="Cambria" w:cs="Arial"/>
          <w:sz w:val="24"/>
          <w:szCs w:val="24"/>
          <w:lang w:val="bg-BG" w:eastAsia="fr-FR"/>
        </w:rPr>
        <w:t xml:space="preserve"> </w:t>
      </w:r>
      <w:proofErr w:type="spellStart"/>
      <w:r w:rsidRPr="00DF7CE4">
        <w:rPr>
          <w:rFonts w:ascii="Cambria" w:eastAsia="Times New Roman" w:hAnsi="Cambria" w:cs="Arial Narrow"/>
          <w:sz w:val="24"/>
          <w:szCs w:val="24"/>
          <w:lang w:val="bg-BG" w:eastAsia="fr-FR"/>
        </w:rPr>
        <w:t>относимото</w:t>
      </w:r>
      <w:proofErr w:type="spellEnd"/>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право</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на</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ЕС</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включително</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Хартата</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на</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основните</w:t>
      </w:r>
      <w:r w:rsidRPr="00DF7CE4">
        <w:rPr>
          <w:rFonts w:ascii="Cambria" w:eastAsia="Times New Roman" w:hAnsi="Cambria" w:cs="Arial"/>
          <w:sz w:val="24"/>
          <w:szCs w:val="24"/>
          <w:lang w:val="bg-BG" w:eastAsia="fr-FR"/>
        </w:rPr>
        <w:t xml:space="preserve"> </w:t>
      </w:r>
      <w:r w:rsidRPr="00DF7CE4">
        <w:rPr>
          <w:rFonts w:ascii="Cambria" w:eastAsia="Times New Roman" w:hAnsi="Cambria" w:cs="Arial Narrow"/>
          <w:sz w:val="24"/>
          <w:szCs w:val="24"/>
          <w:lang w:val="bg-BG" w:eastAsia="fr-FR"/>
        </w:rPr>
        <w:t>права</w:t>
      </w:r>
      <w:r w:rsidRPr="00DF7CE4">
        <w:rPr>
          <w:rFonts w:ascii="Cambria" w:eastAsia="Times New Roman" w:hAnsi="Cambria" w:cs="Arial"/>
          <w:sz w:val="24"/>
          <w:szCs w:val="24"/>
          <w:lang w:val="bg-BG" w:eastAsia="fr-FR"/>
        </w:rPr>
        <w:t>.</w:t>
      </w:r>
    </w:p>
    <w:p w:rsidR="008743AF" w:rsidRPr="00DF7CE4" w:rsidRDefault="008743AF" w:rsidP="00DF7CE4">
      <w:pPr>
        <w:shd w:val="clear" w:color="auto" w:fill="FFFFFF"/>
        <w:spacing w:after="120" w:line="240" w:lineRule="auto"/>
        <w:jc w:val="both"/>
        <w:outlineLvl w:val="4"/>
        <w:rPr>
          <w:rFonts w:ascii="Cambria" w:eastAsia="Times New Roman" w:hAnsi="Cambria" w:cs="Arial"/>
          <w:sz w:val="24"/>
          <w:szCs w:val="24"/>
          <w:lang w:val="bg-BG" w:eastAsia="fr-FR"/>
        </w:rPr>
      </w:pPr>
      <w:r w:rsidRPr="00DF7CE4">
        <w:rPr>
          <w:rFonts w:ascii="Cambria" w:eastAsia="Times New Roman" w:hAnsi="Cambria" w:cs="Arial"/>
          <w:b/>
          <w:bCs/>
          <w:caps/>
          <w:sz w:val="24"/>
          <w:szCs w:val="24"/>
          <w:lang w:val="bg-BG" w:eastAsia="fr-FR"/>
        </w:rPr>
        <w:lastRenderedPageBreak/>
        <w:t xml:space="preserve">б. </w:t>
      </w:r>
      <w:r w:rsidRPr="00DF7CE4">
        <w:rPr>
          <w:rFonts w:ascii="Cambria" w:eastAsia="Times New Roman" w:hAnsi="Cambria" w:cs="Arial"/>
          <w:sz w:val="24"/>
          <w:szCs w:val="24"/>
          <w:lang w:val="bg-BG" w:eastAsia="fr-FR"/>
        </w:rPr>
        <w:t>Бъдещето на управлението на външните граници на ЕС</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Въпреки че тези първи стъпки към интегрирано управление на външните граници, които през последните години доведоха до толкова ясно видими форми на интервенции като най-съвременни подобрения в техническата инфраструктура, по-специално по източната и южната граница, съвместни операции за борба срещу незаконната имиграция 60+ (включително текущата операция „</w:t>
      </w:r>
      <w:proofErr w:type="spellStart"/>
      <w:r w:rsidRPr="00DF7CE4">
        <w:rPr>
          <w:rFonts w:ascii="Cambria" w:eastAsia="Times New Roman" w:hAnsi="Cambria" w:cs="Arial"/>
          <w:sz w:val="24"/>
          <w:szCs w:val="24"/>
          <w:lang w:val="bg-BG" w:eastAsia="fr-FR"/>
        </w:rPr>
        <w:t>Посейдон</w:t>
      </w:r>
      <w:proofErr w:type="spellEnd"/>
      <w:r w:rsidRPr="00DF7CE4">
        <w:rPr>
          <w:rFonts w:ascii="Cambria" w:eastAsia="Times New Roman" w:hAnsi="Cambria" w:cs="Arial"/>
          <w:sz w:val="24"/>
          <w:szCs w:val="24"/>
          <w:lang w:val="bg-BG" w:eastAsia="fr-FR"/>
        </w:rPr>
        <w:t>“ на гръцката граница с Турция) и създаване на съвкупност от екипи за бърза намеса по границите (</w:t>
      </w:r>
      <w:r w:rsidRPr="00DF7CE4">
        <w:rPr>
          <w:rFonts w:ascii="Cambria" w:eastAsia="Times New Roman" w:hAnsi="Cambria" w:cs="Arial"/>
          <w:b/>
          <w:bCs/>
          <w:sz w:val="24"/>
          <w:szCs w:val="24"/>
          <w:lang w:val="bg-BG" w:eastAsia="fr-FR"/>
        </w:rPr>
        <w:t>СЕБНГ</w:t>
      </w:r>
      <w:r w:rsidRPr="00DF7CE4">
        <w:rPr>
          <w:rFonts w:ascii="Cambria" w:eastAsia="Times New Roman" w:hAnsi="Cambria" w:cs="Arial"/>
          <w:sz w:val="24"/>
          <w:szCs w:val="24"/>
          <w:lang w:val="bg-BG" w:eastAsia="fr-FR"/>
        </w:rPr>
        <w:t xml:space="preserve">) и оборудване (централен регистър на наличните технически средства — </w:t>
      </w:r>
      <w:r w:rsidRPr="00DF7CE4">
        <w:rPr>
          <w:rFonts w:ascii="Cambria" w:eastAsia="Times New Roman" w:hAnsi="Cambria" w:cs="Arial"/>
          <w:b/>
          <w:bCs/>
          <w:sz w:val="24"/>
          <w:szCs w:val="24"/>
          <w:lang w:val="bg-BG" w:eastAsia="fr-FR"/>
        </w:rPr>
        <w:t>ЦРНТС</w:t>
      </w:r>
      <w:r w:rsidRPr="00DF7CE4">
        <w:rPr>
          <w:rFonts w:ascii="Cambria" w:eastAsia="Times New Roman" w:hAnsi="Cambria" w:cs="Arial"/>
          <w:sz w:val="24"/>
          <w:szCs w:val="24"/>
          <w:lang w:val="bg-BG" w:eastAsia="fr-FR"/>
        </w:rPr>
        <w:t xml:space="preserve">), за да се помага на държавите членки в случаи на извънредни и спешни ситуации, националните сегменти все още доминират в картината, като група от слабо свързани звена. Няма признаци, че тази ситуация ще се промени в близко бъдеще. Договорът от Лисабон с неговото широко преформулиране на правните основания за приемане на мерки за управление на външните граници в голяма степен предоставя на законодателя на ЕС значителна свобода на действие да приема законодателни мерки за истински интегрирана система за управление на външните граници. Практиката, обаче, трябва да покаже дали тези мерки наистина ще бъдат приети по силата на правното основание за управление на външните граници или по-скоро по силата на Главата за сътрудничество на полицията (за повече подробности относно този тип сътрудничество и правната му основа, вж. документ с данни за полицейското сътрудничество </w:t>
      </w:r>
      <w:hyperlink r:id="rId19" w:tooltip="5.12.7." w:history="1">
        <w:r w:rsidRPr="00DF7CE4">
          <w:rPr>
            <w:rFonts w:ascii="Cambria" w:eastAsia="Times New Roman" w:hAnsi="Cambria" w:cs="Arial"/>
            <w:sz w:val="24"/>
            <w:szCs w:val="24"/>
            <w:lang w:val="bg-BG" w:eastAsia="fr-FR"/>
          </w:rPr>
          <w:t>5.12.7.</w:t>
        </w:r>
      </w:hyperlink>
      <w:r w:rsidRPr="00DF7CE4">
        <w:rPr>
          <w:rFonts w:ascii="Cambria" w:eastAsia="Times New Roman" w:hAnsi="Cambria" w:cs="Arial"/>
          <w:sz w:val="24"/>
          <w:szCs w:val="24"/>
          <w:lang w:val="bg-BG" w:eastAsia="fr-FR"/>
        </w:rPr>
        <w:t>). Нещо повече, абсолютно неясно е колко далеч може да стигне тази нова правна компетентност при сегашните политически обстоятелства по отношение на предоставянето не само на правомощия за координиране, но и на изпълнителни правомощия, което например да доведе до създаването на европейски корпус за гранична охрана или до трансформацията на новосъздадения постоянен комитет за оперативно сътрудничество в областта на вътрешната сигурност (</w:t>
      </w:r>
      <w:r w:rsidRPr="00DF7CE4">
        <w:rPr>
          <w:rFonts w:ascii="Cambria" w:eastAsia="Times New Roman" w:hAnsi="Cambria" w:cs="Arial"/>
          <w:b/>
          <w:bCs/>
          <w:sz w:val="24"/>
          <w:szCs w:val="24"/>
          <w:lang w:val="bg-BG" w:eastAsia="fr-FR"/>
        </w:rPr>
        <w:t>COSI</w:t>
      </w:r>
      <w:r w:rsidRPr="00DF7CE4">
        <w:rPr>
          <w:rFonts w:ascii="Cambria" w:eastAsia="Times New Roman" w:hAnsi="Cambria" w:cs="Arial"/>
          <w:sz w:val="24"/>
          <w:szCs w:val="24"/>
          <w:lang w:val="bg-BG" w:eastAsia="fr-FR"/>
        </w:rPr>
        <w:t xml:space="preserve">) в един вид министерство на вътрешните работи на ЕС. Моментът за подобни фундаментални промени не е настъпил. Както ще видим, това е въпрос на дълъг и много необходим период на консолидация на пространството на свобода, сигурност и правосъдие, който ще позволи да се развие най-ключовият елемент за доброто функциониране на управлението на външните граници, а именно взаимното доверие между държавите членки, както и това между тях и институциите на ЕС. Това не означава, че управлението на външните граници навлиза в период на стагнация. Вече се виждат нови тенденции в тази област. Във връзка с това трите съобщения на Комисията от февруари 2008 г. (общо известни като </w:t>
      </w:r>
      <w:r w:rsidRPr="00DF7CE4">
        <w:rPr>
          <w:rFonts w:ascii="Cambria" w:eastAsia="Times New Roman" w:hAnsi="Cambria" w:cs="Arial"/>
          <w:b/>
          <w:bCs/>
          <w:sz w:val="24"/>
          <w:szCs w:val="24"/>
          <w:lang w:val="bg-BG" w:eastAsia="fr-FR"/>
        </w:rPr>
        <w:t>„Пакет за границите на ЕС“</w:t>
      </w:r>
      <w:r w:rsidRPr="00DF7CE4">
        <w:rPr>
          <w:rFonts w:ascii="Cambria" w:eastAsia="Times New Roman" w:hAnsi="Cambria" w:cs="Arial"/>
          <w:sz w:val="24"/>
          <w:szCs w:val="24"/>
          <w:lang w:val="bg-BG" w:eastAsia="fr-FR"/>
        </w:rPr>
        <w:t>) отбелязаха ясна повратна точка. Пакетът представи цяла серия от електронни и други технологични характеристики, наречени „електронни граници“, включително напълно автоматизирани гранични проверки, цялостни системи за контрол при влизане и излизане, за наблюдение на пътниците във въздушния транспорт и електронно разрешение за пътуване, високо технологични гранични инсталации и виртуални огради. По-конкретно, тройният пакет се съсредоточава върху:</w:t>
      </w:r>
    </w:p>
    <w:p w:rsidR="008743AF" w:rsidRPr="00DF7CE4" w:rsidRDefault="008743AF" w:rsidP="00DF7CE4">
      <w:pPr>
        <w:numPr>
          <w:ilvl w:val="0"/>
          <w:numId w:val="16"/>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следващи стъпки в управлението на границите, т.е. комбинация от мерки за контрол и улеснение, които включват привилегии за „добросъвестни“ пътници благодарение на биометрични идентификатори и автоматични врати, напълно оборудвана входно-изходна система, която позволява на граничните органи да определят кой е вътре и кой е извън територията, </w:t>
      </w:r>
      <w:r w:rsidRPr="00DF7CE4">
        <w:rPr>
          <w:rFonts w:ascii="Cambria" w:eastAsia="Times New Roman" w:hAnsi="Cambria" w:cs="Arial"/>
          <w:sz w:val="24"/>
          <w:szCs w:val="24"/>
          <w:lang w:val="bg-BG" w:eastAsia="fr-FR"/>
        </w:rPr>
        <w:lastRenderedPageBreak/>
        <w:t xml:space="preserve">както и </w:t>
      </w:r>
      <w:r w:rsidRPr="00DF7CE4">
        <w:rPr>
          <w:rFonts w:ascii="Cambria" w:eastAsia="Times New Roman" w:hAnsi="Cambria" w:cs="Arial"/>
          <w:b/>
          <w:bCs/>
          <w:sz w:val="24"/>
          <w:szCs w:val="24"/>
          <w:lang w:val="bg-BG" w:eastAsia="fr-FR"/>
        </w:rPr>
        <w:t>ESTA</w:t>
      </w:r>
      <w:r w:rsidRPr="00DF7CE4">
        <w:rPr>
          <w:rFonts w:ascii="Cambria" w:eastAsia="Times New Roman" w:hAnsi="Cambria" w:cs="Arial"/>
          <w:sz w:val="24"/>
          <w:szCs w:val="24"/>
          <w:lang w:val="bg-BG" w:eastAsia="fr-FR"/>
        </w:rPr>
        <w:t>, електронна система за разрешение за пътуване, която ще изисква от пътниците да получат предварително разрешение преди да могат да се качат на самолет или друго превозно средство за Европа;</w:t>
      </w:r>
    </w:p>
    <w:p w:rsidR="008743AF" w:rsidRPr="00DF7CE4" w:rsidRDefault="008743AF" w:rsidP="00DF7CE4">
      <w:pPr>
        <w:numPr>
          <w:ilvl w:val="0"/>
          <w:numId w:val="16"/>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бъдещо развитие на </w:t>
      </w:r>
      <w:proofErr w:type="spellStart"/>
      <w:r w:rsidRPr="00DF7CE4">
        <w:rPr>
          <w:rFonts w:ascii="Cambria" w:eastAsia="Times New Roman" w:hAnsi="Cambria" w:cs="Arial"/>
          <w:sz w:val="24"/>
          <w:szCs w:val="24"/>
          <w:lang w:val="bg-BG" w:eastAsia="fr-FR"/>
        </w:rPr>
        <w:t>Frontex</w:t>
      </w:r>
      <w:proofErr w:type="spellEnd"/>
      <w:r w:rsidRPr="00DF7CE4">
        <w:rPr>
          <w:rFonts w:ascii="Cambria" w:eastAsia="Times New Roman" w:hAnsi="Cambria" w:cs="Arial"/>
          <w:sz w:val="24"/>
          <w:szCs w:val="24"/>
          <w:lang w:val="bg-BG" w:eastAsia="fr-FR"/>
        </w:rPr>
        <w:t xml:space="preserve">, което ще позволи на агенцията да получи по-голяма автономност при изпълнението на интервенциите по </w:t>
      </w:r>
      <w:r w:rsidRPr="00DF7CE4">
        <w:rPr>
          <w:rFonts w:ascii="Cambria" w:eastAsia="Times New Roman" w:hAnsi="Cambria" w:cs="Arial"/>
          <w:b/>
          <w:bCs/>
          <w:sz w:val="24"/>
          <w:szCs w:val="24"/>
          <w:lang w:val="bg-BG" w:eastAsia="fr-FR"/>
        </w:rPr>
        <w:t>RABIT/CRATE</w:t>
      </w:r>
      <w:r w:rsidRPr="00DF7CE4">
        <w:rPr>
          <w:rFonts w:ascii="Cambria" w:eastAsia="Times New Roman" w:hAnsi="Cambria" w:cs="Arial"/>
          <w:sz w:val="24"/>
          <w:szCs w:val="24"/>
          <w:lang w:val="bg-BG" w:eastAsia="fr-FR"/>
        </w:rPr>
        <w:t xml:space="preserve"> чрез закупуване на собствено оборудване и да си сътрудничи с държави извън ЕС и с международни организации;</w:t>
      </w:r>
    </w:p>
    <w:p w:rsidR="008743AF" w:rsidRPr="00DF7CE4" w:rsidRDefault="008743AF" w:rsidP="00DF7CE4">
      <w:pPr>
        <w:numPr>
          <w:ilvl w:val="0"/>
          <w:numId w:val="16"/>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бъдеща европейска система за наблюдение на границите (</w:t>
      </w:r>
      <w:r w:rsidRPr="00DF7CE4">
        <w:rPr>
          <w:rFonts w:ascii="Cambria" w:eastAsia="Times New Roman" w:hAnsi="Cambria" w:cs="Arial"/>
          <w:b/>
          <w:bCs/>
          <w:sz w:val="24"/>
          <w:szCs w:val="24"/>
          <w:lang w:val="bg-BG" w:eastAsia="fr-FR"/>
        </w:rPr>
        <w:t>EUROSUR</w:t>
      </w:r>
      <w:r w:rsidRPr="00DF7CE4">
        <w:rPr>
          <w:rFonts w:ascii="Cambria" w:eastAsia="Times New Roman" w:hAnsi="Cambria" w:cs="Arial"/>
          <w:sz w:val="24"/>
          <w:szCs w:val="24"/>
          <w:lang w:val="bg-BG" w:eastAsia="fr-FR"/>
        </w:rPr>
        <w:t>), която да допълни системата на безпроблемен контрол на граничните контролно-пропускателни пунктове чрез също толкова строга система за наблюдение и обмен на информация на зелените и сините граници на ЕС.</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Няколко месеца по-късно пакетът на Комисията и особено нейните предложения за следващи стъпки в управлението на границите бяха отразени най-напред от групата „Бъдеще“ от 2008 г., натоварена със задачата за последващо обмисляне на бъдещото развитие на пространството на свобода, сигурност и правосъдие след изтичането на Програмата от Хага, след това от </w:t>
      </w:r>
      <w:r w:rsidRPr="00DF7CE4">
        <w:rPr>
          <w:rFonts w:ascii="Cambria" w:eastAsia="Times New Roman" w:hAnsi="Cambria" w:cs="Arial"/>
          <w:b/>
          <w:bCs/>
          <w:sz w:val="24"/>
          <w:szCs w:val="24"/>
          <w:lang w:val="bg-BG" w:eastAsia="fr-FR"/>
        </w:rPr>
        <w:t>Стокхолмската програма</w:t>
      </w:r>
      <w:r w:rsidRPr="00DF7CE4">
        <w:rPr>
          <w:rFonts w:ascii="Cambria" w:eastAsia="Times New Roman" w:hAnsi="Cambria" w:cs="Arial"/>
          <w:sz w:val="24"/>
          <w:szCs w:val="24"/>
          <w:lang w:val="bg-BG" w:eastAsia="fr-FR"/>
        </w:rPr>
        <w:t xml:space="preserve">, наследник на Програмата от Хага, одобрена от Европейския съвет през декември 2009 г., и накрая от </w:t>
      </w:r>
      <w:r w:rsidRPr="00DF7CE4">
        <w:rPr>
          <w:rFonts w:ascii="Cambria" w:eastAsia="Times New Roman" w:hAnsi="Cambria" w:cs="Arial"/>
          <w:b/>
          <w:bCs/>
          <w:sz w:val="24"/>
          <w:szCs w:val="24"/>
          <w:lang w:val="bg-BG" w:eastAsia="fr-FR"/>
        </w:rPr>
        <w:t xml:space="preserve">Плана за действие на Комисията за изпълнение на Стокхолмската програма </w:t>
      </w:r>
      <w:r w:rsidRPr="00DF7CE4">
        <w:rPr>
          <w:rFonts w:ascii="Cambria" w:eastAsia="Times New Roman" w:hAnsi="Cambria" w:cs="Arial"/>
          <w:sz w:val="24"/>
          <w:szCs w:val="24"/>
          <w:lang w:val="bg-BG" w:eastAsia="fr-FR"/>
        </w:rPr>
        <w:t xml:space="preserve">от 20 април 2010 г., който подчерта, че „Благодарение на разумното използване на съвременните технологии в управлението на границите в допълнение към съществуващите инструменти като част от управлението на риска Европа може да стане по-лесно достъпна за добросъвестните пътници, могат да се насърчат иновациите в промишлеността на ЕС, като по този начин се допринесе за просперитета и растежа на Европа и за това гражданите на Съюза да се чувстват сигурни.“ (за повече подробности относно Стокхолмската програма, вж. документ с данни „Пространство на свобода, сигурност и правосъдие: общи аспекти“ </w:t>
      </w:r>
      <w:hyperlink r:id="rId20" w:tooltip="5.12.1." w:history="1">
        <w:r w:rsidRPr="00DF7CE4">
          <w:rPr>
            <w:rFonts w:ascii="Cambria" w:eastAsia="Times New Roman" w:hAnsi="Cambria" w:cs="Arial"/>
            <w:sz w:val="24"/>
            <w:szCs w:val="24"/>
            <w:lang w:val="bg-BG" w:eastAsia="fr-FR"/>
          </w:rPr>
          <w:t>5.12.1.</w:t>
        </w:r>
      </w:hyperlink>
      <w:r w:rsidRPr="00DF7CE4">
        <w:rPr>
          <w:rFonts w:ascii="Cambria" w:eastAsia="Times New Roman" w:hAnsi="Cambria" w:cs="Arial"/>
          <w:sz w:val="24"/>
          <w:szCs w:val="24"/>
          <w:lang w:val="bg-BG" w:eastAsia="fr-FR"/>
        </w:rPr>
        <w:t xml:space="preserve">). На 25 октомври 2011 г. Комисията представи съобщение относно </w:t>
      </w:r>
      <w:r w:rsidRPr="00DF7CE4">
        <w:rPr>
          <w:rFonts w:ascii="Cambria" w:eastAsia="Times New Roman" w:hAnsi="Cambria" w:cs="Arial"/>
          <w:b/>
          <w:bCs/>
          <w:sz w:val="24"/>
          <w:szCs w:val="24"/>
          <w:lang w:val="bg-BG" w:eastAsia="fr-FR"/>
        </w:rPr>
        <w:t>интелигентните граници</w:t>
      </w:r>
      <w:r w:rsidRPr="00DF7CE4">
        <w:rPr>
          <w:rFonts w:ascii="Cambria" w:eastAsia="Times New Roman" w:hAnsi="Cambria" w:cs="Arial"/>
          <w:sz w:val="24"/>
          <w:szCs w:val="24"/>
          <w:lang w:val="bg-BG" w:eastAsia="fr-FR"/>
        </w:rPr>
        <w:t>, което посочва основните възможности за използване на нови технологии за опростяване на живота на чужденците, пътуващи за ЕС, и за по-добър мониторинг на гражданите на трети страни, които преминават границите. Тези възможности биха се състояли от:</w:t>
      </w:r>
    </w:p>
    <w:p w:rsidR="008743AF" w:rsidRPr="00DF7CE4" w:rsidRDefault="008743AF" w:rsidP="00DF7CE4">
      <w:pPr>
        <w:numPr>
          <w:ilvl w:val="0"/>
          <w:numId w:val="17"/>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Система за влизане/излизане (EES)</w:t>
      </w:r>
      <w:r w:rsidRPr="00DF7CE4">
        <w:rPr>
          <w:rFonts w:ascii="Cambria" w:eastAsia="Times New Roman" w:hAnsi="Cambria" w:cs="Arial"/>
          <w:sz w:val="24"/>
          <w:szCs w:val="24"/>
          <w:lang w:val="bg-BG" w:eastAsia="fr-FR"/>
        </w:rPr>
        <w:t>, която да отразява момента и мястото на влизане и продължителността на разрешените краткосрочни пребивавания в електронна база данни, която да замени настоящата система от подпечатване на паспорти. След това тези данни ще бъдат предоставени на органите за граничен контрол и имиграция.</w:t>
      </w:r>
    </w:p>
    <w:p w:rsidR="008743AF" w:rsidRPr="00DF7CE4" w:rsidRDefault="008743AF" w:rsidP="00DF7CE4">
      <w:pPr>
        <w:numPr>
          <w:ilvl w:val="0"/>
          <w:numId w:val="17"/>
        </w:num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b/>
          <w:bCs/>
          <w:sz w:val="24"/>
          <w:szCs w:val="24"/>
          <w:lang w:val="bg-BG" w:eastAsia="fr-FR"/>
        </w:rPr>
        <w:t xml:space="preserve">Програма за регистрирани пътници </w:t>
      </w:r>
      <w:r w:rsidRPr="00DF7CE4">
        <w:rPr>
          <w:rFonts w:ascii="Cambria" w:eastAsia="Times New Roman" w:hAnsi="Cambria" w:cs="Arial"/>
          <w:sz w:val="24"/>
          <w:szCs w:val="24"/>
          <w:lang w:val="bg-BG" w:eastAsia="fr-FR"/>
        </w:rPr>
        <w:t>(</w:t>
      </w:r>
      <w:r w:rsidRPr="00DF7CE4">
        <w:rPr>
          <w:rFonts w:ascii="Cambria" w:eastAsia="Times New Roman" w:hAnsi="Cambria" w:cs="Arial"/>
          <w:b/>
          <w:bCs/>
          <w:sz w:val="24"/>
          <w:szCs w:val="24"/>
          <w:lang w:val="bg-BG" w:eastAsia="fr-FR"/>
        </w:rPr>
        <w:t>RTP)</w:t>
      </w:r>
      <w:r w:rsidRPr="00DF7CE4">
        <w:rPr>
          <w:rFonts w:ascii="Cambria" w:eastAsia="Times New Roman" w:hAnsi="Cambria" w:cs="Arial"/>
          <w:sz w:val="24"/>
          <w:szCs w:val="24"/>
          <w:lang w:val="bg-BG" w:eastAsia="fr-FR"/>
        </w:rPr>
        <w:t>, която би позволила на определени категории често пътуващи лица (например лица, пътуващи по бизнес причини, или членове на семейството и т.н.) от трети страни да влизат в ЕС при подходяща предварителна проверка, като се използват опростени гранични проверки на автоматизирани врати. Това би ускорило преминаването на границите за между 4 и 5 милиона пътници годишно и би насърчило инвестициите в модерен автоматизиран граничен контрол (например въз основа на електронни паспорти) на големите контролно-пропускателни пунктове.</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lastRenderedPageBreak/>
        <w:t>Комисията представи законодателно предложение за EUROSUR (Европейска система за наблюдение на границите) на 12 декември 2011 г. и предложенията за EES (Система за влизане/излизане) и RTP (Програма за регистрирани пътници) на 28 февруари 2013 г.</w:t>
      </w:r>
    </w:p>
    <w:p w:rsidR="008743AF" w:rsidRPr="00DF7CE4" w:rsidRDefault="008743AF" w:rsidP="00DF7CE4">
      <w:pPr>
        <w:shd w:val="clear" w:color="auto" w:fill="FFFFFF"/>
        <w:spacing w:after="120" w:line="240" w:lineRule="auto"/>
        <w:jc w:val="both"/>
        <w:outlineLvl w:val="3"/>
        <w:rPr>
          <w:rFonts w:ascii="Cambria" w:eastAsia="Times New Roman" w:hAnsi="Cambria" w:cs="Arial"/>
          <w:b/>
          <w:bCs/>
          <w:sz w:val="24"/>
          <w:szCs w:val="24"/>
          <w:lang w:val="bg-BG" w:eastAsia="fr-FR"/>
        </w:rPr>
      </w:pPr>
      <w:r w:rsidRPr="00DF7CE4">
        <w:rPr>
          <w:rFonts w:ascii="Cambria" w:eastAsia="Times New Roman" w:hAnsi="Cambria" w:cs="Arial"/>
          <w:b/>
          <w:bCs/>
          <w:sz w:val="24"/>
          <w:szCs w:val="24"/>
          <w:lang w:val="bg-BG" w:eastAsia="fr-FR"/>
        </w:rPr>
        <w:t>Роля на Европейския парламент</w:t>
      </w:r>
    </w:p>
    <w:p w:rsidR="008743AF" w:rsidRPr="00DF7CE4" w:rsidRDefault="008743AF" w:rsidP="00DF7CE4">
      <w:pPr>
        <w:shd w:val="clear" w:color="auto" w:fill="FFFFFF"/>
        <w:spacing w:after="120" w:line="240" w:lineRule="auto"/>
        <w:jc w:val="both"/>
        <w:rPr>
          <w:rFonts w:ascii="Cambria" w:eastAsia="Times New Roman" w:hAnsi="Cambria" w:cs="Arial"/>
          <w:sz w:val="24"/>
          <w:szCs w:val="24"/>
          <w:lang w:val="bg-BG" w:eastAsia="fr-FR"/>
        </w:rPr>
      </w:pPr>
      <w:r w:rsidRPr="00DF7CE4">
        <w:rPr>
          <w:rFonts w:ascii="Cambria" w:eastAsia="Times New Roman" w:hAnsi="Cambria" w:cs="Arial"/>
          <w:sz w:val="24"/>
          <w:szCs w:val="24"/>
          <w:lang w:val="bg-BG" w:eastAsia="fr-FR"/>
        </w:rPr>
        <w:t xml:space="preserve">В Европейския парламент реакциите на тези инициативи бяха смесени. Въпреки че Парламентът широко подкрепи подобрената организационната роля на </w:t>
      </w:r>
      <w:proofErr w:type="spellStart"/>
      <w:r w:rsidRPr="00DF7CE4">
        <w:rPr>
          <w:rFonts w:ascii="Cambria" w:eastAsia="Times New Roman" w:hAnsi="Cambria" w:cs="Arial"/>
          <w:sz w:val="24"/>
          <w:szCs w:val="24"/>
          <w:lang w:val="bg-BG" w:eastAsia="fr-FR"/>
        </w:rPr>
        <w:t>Frontex</w:t>
      </w:r>
      <w:proofErr w:type="spellEnd"/>
      <w:r w:rsidRPr="00DF7CE4">
        <w:rPr>
          <w:rFonts w:ascii="Cambria" w:eastAsia="Times New Roman" w:hAnsi="Cambria" w:cs="Arial"/>
          <w:sz w:val="24"/>
          <w:szCs w:val="24"/>
          <w:lang w:val="bg-BG" w:eastAsia="fr-FR"/>
        </w:rPr>
        <w:t xml:space="preserve">, той изрази сериозни съмнения по отношение на мащабното технологично надграждане и масовата обработка на лични данни, които се предлагат за външните граници. Според Парламента събиране и обработка на данни от такъв характер не само представлява само по себе си сериозно посегателство върху личния живот, но от значение в случая е и мащабът. Колкото повече данни се използват при прехвърляне на модели и системи за профилиране, толкова по-големи са рисковете от изтичане на данни, погрешни резултати и болезнени последици за засегнатите лица. Също така е добре известно от дългогодишния опит на САЩ (в качеството си на най-голямата своеобразна лаборатория в областта на граничната сигурност в света), че дори огромните инвестиции в напреднали технологии не са в състояние да гарантират пълната сигурност на американските граници. Ето защо ЕП в своята </w:t>
      </w:r>
      <w:r w:rsidRPr="00DF7CE4">
        <w:rPr>
          <w:rFonts w:ascii="Cambria" w:eastAsia="Times New Roman" w:hAnsi="Cambria" w:cs="Arial"/>
          <w:b/>
          <w:bCs/>
          <w:sz w:val="24"/>
          <w:szCs w:val="24"/>
          <w:lang w:val="bg-BG" w:eastAsia="fr-FR"/>
        </w:rPr>
        <w:t>резолюция относно програмата от Стокхолм</w:t>
      </w:r>
      <w:r w:rsidRPr="00DF7CE4">
        <w:rPr>
          <w:rFonts w:ascii="Cambria" w:eastAsia="Times New Roman" w:hAnsi="Cambria" w:cs="Arial"/>
          <w:sz w:val="24"/>
          <w:szCs w:val="24"/>
          <w:lang w:val="bg-BG" w:eastAsia="fr-FR"/>
        </w:rPr>
        <w:t xml:space="preserve"> от 25 ноември 2009 г. настоя „за това да не се пускат в действие нови инструменти за управление на границите или </w:t>
      </w:r>
      <w:proofErr w:type="spellStart"/>
      <w:r w:rsidRPr="00DF7CE4">
        <w:rPr>
          <w:rFonts w:ascii="Cambria" w:eastAsia="Times New Roman" w:hAnsi="Cambria" w:cs="Arial"/>
          <w:sz w:val="24"/>
          <w:szCs w:val="24"/>
          <w:lang w:val="bg-BG" w:eastAsia="fr-FR"/>
        </w:rPr>
        <w:t>широкомащабни</w:t>
      </w:r>
      <w:proofErr w:type="spellEnd"/>
      <w:r w:rsidRPr="00DF7CE4">
        <w:rPr>
          <w:rFonts w:ascii="Cambria" w:eastAsia="Times New Roman" w:hAnsi="Cambria" w:cs="Arial"/>
          <w:sz w:val="24"/>
          <w:szCs w:val="24"/>
          <w:lang w:val="bg-BG" w:eastAsia="fr-FR"/>
        </w:rPr>
        <w:t xml:space="preserve"> системи за съхраняване на данни, докато съществуващите инструменти все още функционират в пълна степен и са безопасни и надеждни“, и призова „за провеждане на цялостна оценка на необходимостта и пропорционалността на новите инструменти, които са свързани с въпроси, като например влизане и напускане, програма за регистрация на пътниците, запис на имената на пътниците и система за предварително разрешение за пътуване“. И накрая Парламентът настоя за „приемане на всеобхватен план, който да определя общите цели и структурата на стратегията на Съюза за интегрирано управление на границите, с цел реално прилагане на общата политика по въпросите на убежището, имиграцията и контрола на външните граници“.</w:t>
      </w:r>
    </w:p>
    <w:p w:rsidR="008743AF" w:rsidRPr="00DF7CE4" w:rsidRDefault="008743AF" w:rsidP="00DF7CE4">
      <w:pPr>
        <w:shd w:val="clear" w:color="auto" w:fill="FFFFFF"/>
        <w:spacing w:after="120" w:line="240" w:lineRule="auto"/>
        <w:jc w:val="both"/>
        <w:rPr>
          <w:rFonts w:ascii="Cambria" w:eastAsia="Times New Roman" w:hAnsi="Cambria" w:cs="Arial"/>
          <w:b/>
          <w:bCs/>
          <w:sz w:val="24"/>
          <w:szCs w:val="24"/>
          <w:lang w:val="bg-BG" w:eastAsia="fr-FR"/>
        </w:rPr>
      </w:pPr>
      <w:proofErr w:type="spellStart"/>
      <w:r w:rsidRPr="00DF7CE4">
        <w:rPr>
          <w:rFonts w:ascii="Cambria" w:eastAsia="Times New Roman" w:hAnsi="Cambria" w:cs="Arial"/>
          <w:b/>
          <w:bCs/>
          <w:sz w:val="24"/>
          <w:szCs w:val="24"/>
          <w:lang w:val="bg-BG" w:eastAsia="fr-FR"/>
        </w:rPr>
        <w:t>Andreas-Renatus</w:t>
      </w:r>
      <w:proofErr w:type="spellEnd"/>
      <w:r w:rsidRPr="00DF7CE4">
        <w:rPr>
          <w:rFonts w:ascii="Cambria" w:eastAsia="Times New Roman" w:hAnsi="Cambria" w:cs="Arial"/>
          <w:b/>
          <w:bCs/>
          <w:sz w:val="24"/>
          <w:szCs w:val="24"/>
          <w:lang w:val="bg-BG" w:eastAsia="fr-FR"/>
        </w:rPr>
        <w:t xml:space="preserve"> </w:t>
      </w:r>
      <w:proofErr w:type="spellStart"/>
      <w:r w:rsidRPr="00DF7CE4">
        <w:rPr>
          <w:rFonts w:ascii="Cambria" w:eastAsia="Times New Roman" w:hAnsi="Cambria" w:cs="Arial"/>
          <w:b/>
          <w:bCs/>
          <w:sz w:val="24"/>
          <w:szCs w:val="24"/>
          <w:lang w:val="bg-BG" w:eastAsia="fr-FR"/>
        </w:rPr>
        <w:t>Hartmann</w:t>
      </w:r>
      <w:proofErr w:type="spellEnd"/>
      <w:r w:rsidRPr="00DF7CE4">
        <w:rPr>
          <w:rFonts w:ascii="Cambria" w:eastAsia="Times New Roman" w:hAnsi="Cambria" w:cs="Arial"/>
          <w:b/>
          <w:bCs/>
          <w:sz w:val="24"/>
          <w:szCs w:val="24"/>
          <w:lang w:eastAsia="fr-FR"/>
        </w:rPr>
        <w:t xml:space="preserve">, </w:t>
      </w:r>
      <w:r w:rsidRPr="00DF7CE4">
        <w:rPr>
          <w:rFonts w:ascii="Cambria" w:eastAsia="Times New Roman" w:hAnsi="Cambria" w:cs="Arial"/>
          <w:b/>
          <w:bCs/>
          <w:sz w:val="24"/>
          <w:szCs w:val="24"/>
          <w:lang w:val="bg-BG" w:eastAsia="fr-FR"/>
        </w:rPr>
        <w:t>04/2014</w:t>
      </w:r>
    </w:p>
    <w:p w:rsidR="008743AF" w:rsidRPr="00DF7CE4" w:rsidRDefault="008743AF" w:rsidP="00DF7CE4">
      <w:pPr>
        <w:spacing w:after="120" w:line="240" w:lineRule="auto"/>
        <w:jc w:val="both"/>
        <w:rPr>
          <w:rFonts w:ascii="Cambria" w:hAnsi="Cambria" w:cs="Arial"/>
          <w:b/>
          <w:sz w:val="24"/>
          <w:szCs w:val="24"/>
        </w:rPr>
      </w:pPr>
      <w:bookmarkStart w:id="8" w:name="_GoBack"/>
      <w:bookmarkEnd w:id="8"/>
    </w:p>
    <w:sectPr w:rsidR="008743AF" w:rsidRPr="00DF7CE4" w:rsidSect="00DF7CE4">
      <w:headerReference w:type="default" r:id="rId21"/>
      <w:footerReference w:type="default" r:id="rId22"/>
      <w:pgSz w:w="11906" w:h="16838"/>
      <w:pgMar w:top="1702" w:right="1417" w:bottom="1417" w:left="1417" w:header="426" w:footer="33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D0B" w:rsidRDefault="009A6D0B" w:rsidP="00F260D5">
      <w:pPr>
        <w:spacing w:after="0" w:line="240" w:lineRule="auto"/>
      </w:pPr>
      <w:r>
        <w:separator/>
      </w:r>
    </w:p>
  </w:endnote>
  <w:endnote w:type="continuationSeparator" w:id="0">
    <w:p w:rsidR="009A6D0B" w:rsidRDefault="009A6D0B" w:rsidP="00F26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CE4" w:rsidRPr="00DF7CE4" w:rsidRDefault="00DF7CE4" w:rsidP="00DF7CE4">
    <w:pPr>
      <w:pStyle w:val="Footer"/>
      <w:jc w:val="center"/>
      <w:rPr>
        <w:rFonts w:ascii="Times New Roman" w:hAnsi="Times New Roman" w:cs="Times New Roman"/>
        <w:i/>
        <w:sz w:val="16"/>
        <w:szCs w:val="16"/>
      </w:rPr>
    </w:pPr>
    <w:r w:rsidRPr="00DF7CE4">
      <w:rPr>
        <w:rFonts w:ascii="Times New Roman" w:hAnsi="Times New Roman" w:cs="Times New Roman"/>
        <w:i/>
        <w:sz w:val="16"/>
        <w:szCs w:val="16"/>
      </w:rPr>
      <w:t xml:space="preserve">Този документ е създаден в рамките на проект „Повишаване компетентността на съдии, съдебни помощници и съдебни служители от ВАС и административните съдилища”, Договор № 13-24-2/10.09.2013 г., финансиран от Оперативна програма „Административен капацитет”, съфинансирана от Европейския съюз чрез Европейския социален фонд. </w:t>
    </w:r>
  </w:p>
  <w:p w:rsidR="00DF7CE4" w:rsidRPr="00DF7CE4" w:rsidRDefault="00DF7CE4" w:rsidP="00DF7CE4">
    <w:pPr>
      <w:pStyle w:val="Footer"/>
      <w:jc w:val="center"/>
      <w:rPr>
        <w:rFonts w:ascii="Times New Roman" w:hAnsi="Times New Roman" w:cs="Times New Roman"/>
        <w:sz w:val="16"/>
        <w:szCs w:val="16"/>
      </w:rPr>
    </w:pPr>
  </w:p>
  <w:p w:rsidR="00DF7CE4" w:rsidRPr="00DF7CE4" w:rsidRDefault="00DF7CE4" w:rsidP="00DF7CE4">
    <w:pPr>
      <w:pStyle w:val="Footer"/>
      <w:jc w:val="center"/>
      <w:rPr>
        <w:rFonts w:ascii="Times New Roman" w:hAnsi="Times New Roman" w:cs="Times New Roman"/>
        <w:noProof/>
        <w:sz w:val="16"/>
        <w:szCs w:val="16"/>
      </w:rPr>
    </w:pPr>
    <w:r w:rsidRPr="00DF7CE4">
      <w:rPr>
        <w:rFonts w:ascii="Times New Roman" w:hAnsi="Times New Roman" w:cs="Times New Roman"/>
        <w:sz w:val="16"/>
        <w:szCs w:val="16"/>
      </w:rPr>
      <w:fldChar w:fldCharType="begin"/>
    </w:r>
    <w:r w:rsidRPr="00DF7CE4">
      <w:rPr>
        <w:rFonts w:ascii="Times New Roman" w:hAnsi="Times New Roman" w:cs="Times New Roman"/>
        <w:sz w:val="16"/>
        <w:szCs w:val="16"/>
      </w:rPr>
      <w:instrText xml:space="preserve"> PAGE   \* MERGEFORMAT </w:instrText>
    </w:r>
    <w:r w:rsidRPr="00DF7CE4">
      <w:rPr>
        <w:rFonts w:ascii="Times New Roman" w:hAnsi="Times New Roman" w:cs="Times New Roman"/>
        <w:sz w:val="16"/>
        <w:szCs w:val="16"/>
      </w:rPr>
      <w:fldChar w:fldCharType="separate"/>
    </w:r>
    <w:r w:rsidR="00334980">
      <w:rPr>
        <w:rFonts w:ascii="Times New Roman" w:hAnsi="Times New Roman" w:cs="Times New Roman"/>
        <w:noProof/>
        <w:sz w:val="16"/>
        <w:szCs w:val="16"/>
      </w:rPr>
      <w:t>1</w:t>
    </w:r>
    <w:r w:rsidRPr="00DF7CE4">
      <w:rPr>
        <w:rFonts w:ascii="Times New Roman" w:hAnsi="Times New Roman" w:cs="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D0B" w:rsidRDefault="009A6D0B" w:rsidP="00F260D5">
      <w:pPr>
        <w:spacing w:after="0" w:line="240" w:lineRule="auto"/>
      </w:pPr>
      <w:r>
        <w:separator/>
      </w:r>
    </w:p>
  </w:footnote>
  <w:footnote w:type="continuationSeparator" w:id="0">
    <w:p w:rsidR="009A6D0B" w:rsidRDefault="009A6D0B" w:rsidP="00F260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CE4" w:rsidRDefault="00DF7CE4" w:rsidP="00DF7CE4">
    <w:pPr>
      <w:jc w:val="center"/>
    </w:pPr>
    <w:r>
      <w:rPr>
        <w:noProof/>
        <w:lang w:val="bg-BG" w:eastAsia="bg-BG"/>
      </w:rPr>
      <w:drawing>
        <wp:inline distT="0" distB="0" distL="0" distR="0">
          <wp:extent cx="5391785" cy="758825"/>
          <wp:effectExtent l="19050" t="0" r="0" b="0"/>
          <wp:docPr id="2"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785" cy="7588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A6EFA"/>
    <w:multiLevelType w:val="hybridMultilevel"/>
    <w:tmpl w:val="9762201C"/>
    <w:lvl w:ilvl="0" w:tplc="040C000F">
      <w:start w:val="1"/>
      <w:numFmt w:val="decimal"/>
      <w:lvlText w:val="%1."/>
      <w:lvlJc w:val="left"/>
      <w:pPr>
        <w:tabs>
          <w:tab w:val="num" w:pos="720"/>
        </w:tabs>
        <w:ind w:left="720" w:hanging="360"/>
      </w:pPr>
      <w:rPr>
        <w:rFonts w:hint="default"/>
      </w:rPr>
    </w:lvl>
    <w:lvl w:ilvl="1" w:tplc="3C3C5D0A">
      <w:start w:val="1"/>
      <w:numFmt w:val="upperLetter"/>
      <w:pStyle w:val="Heading5"/>
      <w:lvlText w:val="%2)"/>
      <w:lvlJc w:val="left"/>
      <w:pPr>
        <w:tabs>
          <w:tab w:val="num" w:pos="1440"/>
        </w:tabs>
        <w:ind w:left="1440" w:hanging="36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0A2F597A"/>
    <w:multiLevelType w:val="multilevel"/>
    <w:tmpl w:val="C56A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602773"/>
    <w:multiLevelType w:val="hybridMultilevel"/>
    <w:tmpl w:val="A294A6D0"/>
    <w:lvl w:ilvl="0" w:tplc="9AEA9C6E">
      <w:start w:val="1"/>
      <w:numFmt w:val="upperLetter"/>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3">
    <w:nsid w:val="1083133D"/>
    <w:multiLevelType w:val="multilevel"/>
    <w:tmpl w:val="9DBE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5C7BA0"/>
    <w:multiLevelType w:val="multilevel"/>
    <w:tmpl w:val="14C8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E42074"/>
    <w:multiLevelType w:val="multilevel"/>
    <w:tmpl w:val="C5E21AA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9F3E24"/>
    <w:multiLevelType w:val="multilevel"/>
    <w:tmpl w:val="7D384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4B3B03"/>
    <w:multiLevelType w:val="multilevel"/>
    <w:tmpl w:val="5138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A22862"/>
    <w:multiLevelType w:val="multilevel"/>
    <w:tmpl w:val="0908B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D971FE"/>
    <w:multiLevelType w:val="multilevel"/>
    <w:tmpl w:val="F626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0CE247E"/>
    <w:multiLevelType w:val="hybridMultilevel"/>
    <w:tmpl w:val="9D10FB52"/>
    <w:lvl w:ilvl="0" w:tplc="040C000F">
      <w:start w:val="1"/>
      <w:numFmt w:val="decimal"/>
      <w:lvlText w:val="%1."/>
      <w:lvlJc w:val="left"/>
      <w:pPr>
        <w:tabs>
          <w:tab w:val="num" w:pos="720"/>
        </w:tabs>
        <w:ind w:left="720" w:hanging="360"/>
      </w:pPr>
      <w:rPr>
        <w:rFonts w:hint="default"/>
      </w:rPr>
    </w:lvl>
    <w:lvl w:ilvl="1" w:tplc="26B68660">
      <w:start w:val="2"/>
      <w:numFmt w:val="bullet"/>
      <w:lvlText w:val="-"/>
      <w:lvlJc w:val="left"/>
      <w:pPr>
        <w:tabs>
          <w:tab w:val="num" w:pos="1440"/>
        </w:tabs>
        <w:ind w:left="1440" w:hanging="360"/>
      </w:pPr>
      <w:rPr>
        <w:rFonts w:ascii="Times New Roman" w:eastAsia="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nsid w:val="53843AAF"/>
    <w:multiLevelType w:val="multilevel"/>
    <w:tmpl w:val="FF86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723D53"/>
    <w:multiLevelType w:val="multilevel"/>
    <w:tmpl w:val="96E2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76941FF"/>
    <w:multiLevelType w:val="multilevel"/>
    <w:tmpl w:val="231A1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FF6551"/>
    <w:multiLevelType w:val="multilevel"/>
    <w:tmpl w:val="4ABE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4A1296"/>
    <w:multiLevelType w:val="multilevel"/>
    <w:tmpl w:val="6438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BEB38C3"/>
    <w:multiLevelType w:val="multilevel"/>
    <w:tmpl w:val="93A2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6"/>
  </w:num>
  <w:num w:numId="3">
    <w:abstractNumId w:val="8"/>
  </w:num>
  <w:num w:numId="4">
    <w:abstractNumId w:val="5"/>
  </w:num>
  <w:num w:numId="5">
    <w:abstractNumId w:val="9"/>
  </w:num>
  <w:num w:numId="6">
    <w:abstractNumId w:val="0"/>
  </w:num>
  <w:num w:numId="7">
    <w:abstractNumId w:val="10"/>
  </w:num>
  <w:num w:numId="8">
    <w:abstractNumId w:val="14"/>
  </w:num>
  <w:num w:numId="9">
    <w:abstractNumId w:val="4"/>
  </w:num>
  <w:num w:numId="10">
    <w:abstractNumId w:val="15"/>
  </w:num>
  <w:num w:numId="11">
    <w:abstractNumId w:val="1"/>
  </w:num>
  <w:num w:numId="12">
    <w:abstractNumId w:val="13"/>
  </w:num>
  <w:num w:numId="13">
    <w:abstractNumId w:val="7"/>
  </w:num>
  <w:num w:numId="14">
    <w:abstractNumId w:val="3"/>
  </w:num>
  <w:num w:numId="15">
    <w:abstractNumId w:val="11"/>
  </w:num>
  <w:num w:numId="16">
    <w:abstractNumId w:val="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5E7DD0"/>
    <w:rsid w:val="00013156"/>
    <w:rsid w:val="000914D3"/>
    <w:rsid w:val="000916B5"/>
    <w:rsid w:val="00094ED7"/>
    <w:rsid w:val="000D7B4A"/>
    <w:rsid w:val="00155065"/>
    <w:rsid w:val="001B6F93"/>
    <w:rsid w:val="001D2A8E"/>
    <w:rsid w:val="00210A05"/>
    <w:rsid w:val="00281B0F"/>
    <w:rsid w:val="002A6908"/>
    <w:rsid w:val="003166E1"/>
    <w:rsid w:val="00334980"/>
    <w:rsid w:val="003821E0"/>
    <w:rsid w:val="003B6D2C"/>
    <w:rsid w:val="003D549D"/>
    <w:rsid w:val="00415290"/>
    <w:rsid w:val="00421DA4"/>
    <w:rsid w:val="0043657A"/>
    <w:rsid w:val="004460BC"/>
    <w:rsid w:val="004A1C0C"/>
    <w:rsid w:val="004C0CF7"/>
    <w:rsid w:val="004F0E79"/>
    <w:rsid w:val="004F4BE5"/>
    <w:rsid w:val="004F7CDD"/>
    <w:rsid w:val="00513014"/>
    <w:rsid w:val="00513FCA"/>
    <w:rsid w:val="00515185"/>
    <w:rsid w:val="0053728E"/>
    <w:rsid w:val="005C4D7C"/>
    <w:rsid w:val="005E7937"/>
    <w:rsid w:val="005E7DD0"/>
    <w:rsid w:val="006301DD"/>
    <w:rsid w:val="0063159E"/>
    <w:rsid w:val="00655C13"/>
    <w:rsid w:val="00676352"/>
    <w:rsid w:val="00677EF6"/>
    <w:rsid w:val="0069289F"/>
    <w:rsid w:val="006B5978"/>
    <w:rsid w:val="0070763B"/>
    <w:rsid w:val="00740479"/>
    <w:rsid w:val="00746ACB"/>
    <w:rsid w:val="007765A0"/>
    <w:rsid w:val="007A74E6"/>
    <w:rsid w:val="007B6E36"/>
    <w:rsid w:val="007B7334"/>
    <w:rsid w:val="007D397E"/>
    <w:rsid w:val="007D622F"/>
    <w:rsid w:val="008045BE"/>
    <w:rsid w:val="00841415"/>
    <w:rsid w:val="008459E3"/>
    <w:rsid w:val="008743AF"/>
    <w:rsid w:val="009006FB"/>
    <w:rsid w:val="00935EB7"/>
    <w:rsid w:val="00946FB2"/>
    <w:rsid w:val="009569FF"/>
    <w:rsid w:val="009A6529"/>
    <w:rsid w:val="009A6D0B"/>
    <w:rsid w:val="009B3F48"/>
    <w:rsid w:val="009B4C91"/>
    <w:rsid w:val="009B6005"/>
    <w:rsid w:val="009C2DA9"/>
    <w:rsid w:val="009D023A"/>
    <w:rsid w:val="00A259A8"/>
    <w:rsid w:val="00A513B0"/>
    <w:rsid w:val="00A85091"/>
    <w:rsid w:val="00B04E8C"/>
    <w:rsid w:val="00B07A76"/>
    <w:rsid w:val="00B11153"/>
    <w:rsid w:val="00B64E55"/>
    <w:rsid w:val="00B95E3C"/>
    <w:rsid w:val="00BB782E"/>
    <w:rsid w:val="00BD1BAE"/>
    <w:rsid w:val="00BE1833"/>
    <w:rsid w:val="00C207C1"/>
    <w:rsid w:val="00C34D24"/>
    <w:rsid w:val="00C5374C"/>
    <w:rsid w:val="00C56307"/>
    <w:rsid w:val="00C73A46"/>
    <w:rsid w:val="00D052B0"/>
    <w:rsid w:val="00D06829"/>
    <w:rsid w:val="00D35A4D"/>
    <w:rsid w:val="00D43FC2"/>
    <w:rsid w:val="00D44514"/>
    <w:rsid w:val="00D70D53"/>
    <w:rsid w:val="00DF7CE4"/>
    <w:rsid w:val="00E00A0F"/>
    <w:rsid w:val="00E224C4"/>
    <w:rsid w:val="00EE074F"/>
    <w:rsid w:val="00F05788"/>
    <w:rsid w:val="00F07F2B"/>
    <w:rsid w:val="00F22190"/>
    <w:rsid w:val="00F260D5"/>
    <w:rsid w:val="00FA14CC"/>
    <w:rsid w:val="00FA7086"/>
    <w:rsid w:val="00FE066F"/>
    <w:rsid w:val="00FF52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97E"/>
  </w:style>
  <w:style w:type="paragraph" w:styleId="Heading2">
    <w:name w:val="heading 2"/>
    <w:basedOn w:val="Normal"/>
    <w:next w:val="Normal"/>
    <w:link w:val="Heading2Char"/>
    <w:uiPriority w:val="9"/>
    <w:semiHidden/>
    <w:unhideWhenUsed/>
    <w:qFormat/>
    <w:rsid w:val="008743A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743A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743A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FE066F"/>
    <w:pPr>
      <w:keepNext/>
      <w:numPr>
        <w:ilvl w:val="1"/>
        <w:numId w:val="6"/>
      </w:numPr>
      <w:spacing w:after="0" w:line="360" w:lineRule="exact"/>
      <w:outlineLvl w:val="4"/>
    </w:pPr>
    <w:rPr>
      <w:rFonts w:ascii="Times New Roman" w:eastAsia="Times New Roman" w:hAnsi="Times New Roman" w:cs="Times New Roman"/>
      <w:b/>
      <w:sz w:val="24"/>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156"/>
    <w:pPr>
      <w:ind w:left="720"/>
      <w:contextualSpacing/>
    </w:pPr>
  </w:style>
  <w:style w:type="character" w:styleId="Hyperlink">
    <w:name w:val="Hyperlink"/>
    <w:basedOn w:val="DefaultParagraphFont"/>
    <w:uiPriority w:val="99"/>
    <w:unhideWhenUsed/>
    <w:rsid w:val="009D023A"/>
    <w:rPr>
      <w:color w:val="0000FF" w:themeColor="hyperlink"/>
      <w:u w:val="single"/>
    </w:rPr>
  </w:style>
  <w:style w:type="paragraph" w:styleId="Header">
    <w:name w:val="header"/>
    <w:basedOn w:val="Normal"/>
    <w:link w:val="HeaderChar"/>
    <w:uiPriority w:val="99"/>
    <w:unhideWhenUsed/>
    <w:rsid w:val="00F260D5"/>
    <w:pPr>
      <w:tabs>
        <w:tab w:val="center" w:pos="4536"/>
        <w:tab w:val="right" w:pos="9072"/>
      </w:tabs>
      <w:spacing w:after="0" w:line="240" w:lineRule="auto"/>
    </w:pPr>
  </w:style>
  <w:style w:type="character" w:customStyle="1" w:styleId="HeaderChar">
    <w:name w:val="Header Char"/>
    <w:basedOn w:val="DefaultParagraphFont"/>
    <w:link w:val="Header"/>
    <w:uiPriority w:val="99"/>
    <w:rsid w:val="00F260D5"/>
  </w:style>
  <w:style w:type="paragraph" w:styleId="Footer">
    <w:name w:val="footer"/>
    <w:basedOn w:val="Normal"/>
    <w:link w:val="FooterChar"/>
    <w:uiPriority w:val="99"/>
    <w:unhideWhenUsed/>
    <w:rsid w:val="00F260D5"/>
    <w:pPr>
      <w:tabs>
        <w:tab w:val="center" w:pos="4536"/>
        <w:tab w:val="right" w:pos="9072"/>
      </w:tabs>
      <w:spacing w:after="0" w:line="240" w:lineRule="auto"/>
    </w:pPr>
  </w:style>
  <w:style w:type="character" w:customStyle="1" w:styleId="FooterChar">
    <w:name w:val="Footer Char"/>
    <w:basedOn w:val="DefaultParagraphFont"/>
    <w:link w:val="Footer"/>
    <w:uiPriority w:val="99"/>
    <w:rsid w:val="00F260D5"/>
  </w:style>
  <w:style w:type="paragraph" w:styleId="List">
    <w:name w:val="List"/>
    <w:basedOn w:val="Normal"/>
    <w:uiPriority w:val="99"/>
    <w:unhideWhenUsed/>
    <w:rsid w:val="00F260D5"/>
    <w:pPr>
      <w:ind w:left="283" w:hanging="283"/>
      <w:contextualSpacing/>
    </w:pPr>
  </w:style>
  <w:style w:type="paragraph" w:customStyle="1" w:styleId="c01pointnumerotealtn">
    <w:name w:val="c01pointnumerotealtn"/>
    <w:basedOn w:val="Normal"/>
    <w:rsid w:val="00FF52AF"/>
    <w:pPr>
      <w:spacing w:before="100" w:beforeAutospacing="1" w:after="240" w:line="240" w:lineRule="auto"/>
      <w:ind w:left="567" w:hanging="539"/>
      <w:jc w:val="both"/>
    </w:pPr>
    <w:rPr>
      <w:rFonts w:ascii="Times New Roman" w:eastAsia="Times New Roman" w:hAnsi="Times New Roman" w:cs="Times New Roman"/>
      <w:sz w:val="24"/>
      <w:szCs w:val="24"/>
      <w:lang w:eastAsia="fr-FR"/>
    </w:rPr>
  </w:style>
  <w:style w:type="paragraph" w:customStyle="1" w:styleId="c02alineaalta">
    <w:name w:val="c02alineaalta"/>
    <w:basedOn w:val="Normal"/>
    <w:rsid w:val="00FF52AF"/>
    <w:pPr>
      <w:spacing w:after="240" w:line="240" w:lineRule="auto"/>
      <w:ind w:left="567"/>
      <w:jc w:val="both"/>
    </w:pPr>
    <w:rPr>
      <w:rFonts w:ascii="Times New Roman" w:eastAsia="Times New Roman" w:hAnsi="Times New Roman" w:cs="Times New Roman"/>
      <w:sz w:val="24"/>
      <w:szCs w:val="24"/>
      <w:lang w:eastAsia="fr-FR"/>
    </w:rPr>
  </w:style>
  <w:style w:type="paragraph" w:customStyle="1" w:styleId="c03tiretlong">
    <w:name w:val="c03tiretlong"/>
    <w:basedOn w:val="Normal"/>
    <w:rsid w:val="00FF52AF"/>
    <w:pPr>
      <w:spacing w:before="100" w:beforeAutospacing="1" w:after="240" w:line="240" w:lineRule="auto"/>
      <w:ind w:left="1134" w:hanging="567"/>
      <w:jc w:val="both"/>
    </w:pPr>
    <w:rPr>
      <w:rFonts w:ascii="Times New Roman" w:eastAsia="Times New Roman" w:hAnsi="Times New Roman" w:cs="Times New Roman"/>
      <w:sz w:val="24"/>
      <w:szCs w:val="24"/>
      <w:lang w:eastAsia="fr-FR"/>
    </w:rPr>
  </w:style>
  <w:style w:type="paragraph" w:customStyle="1" w:styleId="c04titre1">
    <w:name w:val="c04titre1"/>
    <w:basedOn w:val="Normal"/>
    <w:rsid w:val="00FF52AF"/>
    <w:pPr>
      <w:spacing w:before="480" w:after="240" w:line="240" w:lineRule="auto"/>
      <w:ind w:left="567"/>
      <w:jc w:val="both"/>
    </w:pPr>
    <w:rPr>
      <w:rFonts w:ascii="Times New Roman" w:eastAsia="Times New Roman" w:hAnsi="Times New Roman" w:cs="Times New Roman"/>
      <w:b/>
      <w:bCs/>
      <w:sz w:val="24"/>
      <w:szCs w:val="24"/>
      <w:lang w:eastAsia="fr-FR"/>
    </w:rPr>
  </w:style>
  <w:style w:type="paragraph" w:customStyle="1" w:styleId="c05titre2">
    <w:name w:val="c05titre2"/>
    <w:basedOn w:val="Normal"/>
    <w:rsid w:val="00FF52AF"/>
    <w:pPr>
      <w:spacing w:after="240" w:line="240" w:lineRule="auto"/>
      <w:ind w:left="567"/>
      <w:jc w:val="both"/>
    </w:pPr>
    <w:rPr>
      <w:rFonts w:ascii="Times New Roman" w:eastAsia="Times New Roman" w:hAnsi="Times New Roman" w:cs="Times New Roman"/>
      <w:i/>
      <w:iCs/>
      <w:sz w:val="24"/>
      <w:szCs w:val="24"/>
      <w:lang w:eastAsia="fr-FR"/>
    </w:rPr>
  </w:style>
  <w:style w:type="paragraph" w:customStyle="1" w:styleId="c06titre3">
    <w:name w:val="c06titre3"/>
    <w:basedOn w:val="Normal"/>
    <w:rsid w:val="00FF52AF"/>
    <w:pPr>
      <w:spacing w:after="240" w:line="240" w:lineRule="auto"/>
      <w:ind w:left="567"/>
      <w:jc w:val="both"/>
    </w:pPr>
    <w:rPr>
      <w:rFonts w:ascii="Times New Roman" w:eastAsia="Times New Roman" w:hAnsi="Times New Roman" w:cs="Times New Roman"/>
      <w:sz w:val="24"/>
      <w:szCs w:val="24"/>
      <w:lang w:eastAsia="fr-FR"/>
    </w:rPr>
  </w:style>
  <w:style w:type="paragraph" w:customStyle="1" w:styleId="c08dispositif">
    <w:name w:val="c08dispositif"/>
    <w:basedOn w:val="Normal"/>
    <w:rsid w:val="00FF52AF"/>
    <w:pPr>
      <w:spacing w:before="100" w:beforeAutospacing="1" w:after="240" w:line="240" w:lineRule="auto"/>
      <w:ind w:left="1134" w:hanging="567"/>
      <w:jc w:val="both"/>
    </w:pPr>
    <w:rPr>
      <w:rFonts w:ascii="Times New Roman" w:eastAsia="Times New Roman" w:hAnsi="Times New Roman" w:cs="Times New Roman"/>
      <w:b/>
      <w:bCs/>
      <w:sz w:val="24"/>
      <w:szCs w:val="24"/>
      <w:lang w:eastAsia="fr-FR"/>
    </w:rPr>
  </w:style>
  <w:style w:type="paragraph" w:customStyle="1" w:styleId="c19centre">
    <w:name w:val="c19centre"/>
    <w:basedOn w:val="Normal"/>
    <w:rsid w:val="00FF52AF"/>
    <w:pPr>
      <w:spacing w:after="240" w:line="240" w:lineRule="auto"/>
      <w:ind w:left="567"/>
      <w:jc w:val="center"/>
    </w:pPr>
    <w:rPr>
      <w:rFonts w:ascii="Times New Roman" w:eastAsia="Times New Roman" w:hAnsi="Times New Roman" w:cs="Times New Roman"/>
      <w:sz w:val="24"/>
      <w:szCs w:val="24"/>
      <w:lang w:eastAsia="fr-FR"/>
    </w:rPr>
  </w:style>
  <w:style w:type="paragraph" w:customStyle="1" w:styleId="c09marge0avecretrait">
    <w:name w:val="c09marge0avecretrait"/>
    <w:basedOn w:val="Normal"/>
    <w:rsid w:val="00FF52AF"/>
    <w:pPr>
      <w:spacing w:after="240" w:line="240" w:lineRule="auto"/>
      <w:ind w:left="1134" w:hanging="567"/>
      <w:jc w:val="both"/>
    </w:pPr>
    <w:rPr>
      <w:rFonts w:ascii="Times New Roman" w:eastAsia="Times New Roman" w:hAnsi="Times New Roman" w:cs="Times New Roman"/>
      <w:sz w:val="24"/>
      <w:szCs w:val="24"/>
      <w:lang w:eastAsia="fr-FR"/>
    </w:rPr>
  </w:style>
  <w:style w:type="paragraph" w:customStyle="1" w:styleId="c11marge1avecretrait">
    <w:name w:val="c11marge1avecretrait"/>
    <w:basedOn w:val="Normal"/>
    <w:rsid w:val="00FF52AF"/>
    <w:pPr>
      <w:spacing w:after="240" w:line="240" w:lineRule="auto"/>
      <w:ind w:left="1701" w:hanging="567"/>
      <w:jc w:val="both"/>
    </w:pPr>
    <w:rPr>
      <w:rFonts w:ascii="Times New Roman" w:eastAsia="Times New Roman" w:hAnsi="Times New Roman" w:cs="Times New Roman"/>
      <w:sz w:val="24"/>
      <w:szCs w:val="24"/>
      <w:lang w:eastAsia="fr-FR"/>
    </w:rPr>
  </w:style>
  <w:style w:type="paragraph" w:customStyle="1" w:styleId="c75debutdesmotifs">
    <w:name w:val="c75debutdesmotifs"/>
    <w:basedOn w:val="Normal"/>
    <w:rsid w:val="00FF52AF"/>
    <w:pPr>
      <w:spacing w:before="480" w:after="480" w:line="240" w:lineRule="auto"/>
      <w:ind w:left="567"/>
      <w:jc w:val="center"/>
    </w:pPr>
    <w:rPr>
      <w:rFonts w:ascii="Times New Roman" w:eastAsia="Times New Roman" w:hAnsi="Times New Roman" w:cs="Times New Roman"/>
      <w:b/>
      <w:bCs/>
      <w:sz w:val="24"/>
      <w:szCs w:val="24"/>
      <w:lang w:eastAsia="fr-FR"/>
    </w:rPr>
  </w:style>
  <w:style w:type="paragraph" w:customStyle="1" w:styleId="c77signatures">
    <w:name w:val="c77signatures"/>
    <w:basedOn w:val="Normal"/>
    <w:rsid w:val="00FF52AF"/>
    <w:pPr>
      <w:spacing w:after="1200" w:line="240" w:lineRule="auto"/>
      <w:ind w:left="567"/>
      <w:jc w:val="both"/>
    </w:pPr>
    <w:rPr>
      <w:rFonts w:ascii="Times New Roman" w:eastAsia="Times New Roman" w:hAnsi="Times New Roman" w:cs="Times New Roman"/>
      <w:sz w:val="24"/>
      <w:szCs w:val="24"/>
      <w:lang w:eastAsia="fr-FR"/>
    </w:rPr>
  </w:style>
  <w:style w:type="paragraph" w:customStyle="1" w:styleId="c71indicateur">
    <w:name w:val="c71indicateur"/>
    <w:basedOn w:val="Normal"/>
    <w:rsid w:val="00FF52AF"/>
    <w:pPr>
      <w:spacing w:before="600" w:after="560" w:line="240" w:lineRule="auto"/>
      <w:ind w:left="567"/>
      <w:jc w:val="center"/>
    </w:pPr>
    <w:rPr>
      <w:rFonts w:ascii="Times New Roman" w:eastAsia="Times New Roman" w:hAnsi="Times New Roman" w:cs="Times New Roman"/>
      <w:sz w:val="24"/>
      <w:szCs w:val="24"/>
      <w:lang w:eastAsia="fr-FR"/>
    </w:rPr>
  </w:style>
  <w:style w:type="paragraph" w:customStyle="1" w:styleId="c41dispositifintroduction">
    <w:name w:val="c41dispositifintroduction"/>
    <w:basedOn w:val="Normal"/>
    <w:rsid w:val="00FF52A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34dispositifmarge1avectiretlong">
    <w:name w:val="c34dispositifmarge1avectiretlong"/>
    <w:basedOn w:val="Normal"/>
    <w:rsid w:val="00FF52A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32dispositifmarge1">
    <w:name w:val="c32dispositifmarge1"/>
    <w:basedOn w:val="Normal"/>
    <w:rsid w:val="00FF52A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30dispositifalinea">
    <w:name w:val="c30dispositifalinea"/>
    <w:basedOn w:val="Normal"/>
    <w:rsid w:val="003166E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FootnoteText">
    <w:name w:val="footnote text"/>
    <w:basedOn w:val="Normal"/>
    <w:link w:val="FootnoteTextChar"/>
    <w:semiHidden/>
    <w:rsid w:val="007765A0"/>
    <w:pPr>
      <w:spacing w:after="0" w:line="240" w:lineRule="auto"/>
    </w:pPr>
    <w:rPr>
      <w:rFonts w:ascii="Times New Roman" w:eastAsia="Times New Roman" w:hAnsi="Times New Roman" w:cs="Times New Roman"/>
      <w:sz w:val="20"/>
      <w:szCs w:val="20"/>
      <w:lang w:eastAsia="fr-FR"/>
    </w:rPr>
  </w:style>
  <w:style w:type="character" w:customStyle="1" w:styleId="FootnoteTextChar">
    <w:name w:val="Footnote Text Char"/>
    <w:basedOn w:val="DefaultParagraphFont"/>
    <w:link w:val="FootnoteText"/>
    <w:semiHidden/>
    <w:rsid w:val="007765A0"/>
    <w:rPr>
      <w:rFonts w:ascii="Times New Roman" w:eastAsia="Times New Roman" w:hAnsi="Times New Roman" w:cs="Times New Roman"/>
      <w:sz w:val="20"/>
      <w:szCs w:val="20"/>
      <w:lang w:eastAsia="fr-FR"/>
    </w:rPr>
  </w:style>
  <w:style w:type="character" w:styleId="FootnoteReference">
    <w:name w:val="footnote reference"/>
    <w:rsid w:val="007765A0"/>
    <w:rPr>
      <w:vertAlign w:val="superscript"/>
    </w:rPr>
  </w:style>
  <w:style w:type="character" w:styleId="Strong">
    <w:name w:val="Strong"/>
    <w:uiPriority w:val="22"/>
    <w:qFormat/>
    <w:rsid w:val="002A6908"/>
    <w:rPr>
      <w:b/>
      <w:bCs/>
    </w:rPr>
  </w:style>
  <w:style w:type="paragraph" w:customStyle="1" w:styleId="Default">
    <w:name w:val="Default"/>
    <w:rsid w:val="00935EB7"/>
    <w:pPr>
      <w:autoSpaceDE w:val="0"/>
      <w:autoSpaceDN w:val="0"/>
      <w:adjustRightInd w:val="0"/>
      <w:spacing w:after="0" w:line="240" w:lineRule="auto"/>
    </w:pPr>
    <w:rPr>
      <w:rFonts w:ascii="Wingdings" w:hAnsi="Wingdings" w:cs="Wingdings"/>
      <w:color w:val="000000"/>
      <w:sz w:val="24"/>
      <w:szCs w:val="24"/>
    </w:rPr>
  </w:style>
  <w:style w:type="character" w:customStyle="1" w:styleId="Heading5Char">
    <w:name w:val="Heading 5 Char"/>
    <w:basedOn w:val="DefaultParagraphFont"/>
    <w:link w:val="Heading5"/>
    <w:rsid w:val="00FE066F"/>
    <w:rPr>
      <w:rFonts w:ascii="Times New Roman" w:eastAsia="Times New Roman" w:hAnsi="Times New Roman" w:cs="Times New Roman"/>
      <w:b/>
      <w:sz w:val="24"/>
      <w:szCs w:val="24"/>
      <w:lang w:eastAsia="fr-FR"/>
    </w:rPr>
  </w:style>
  <w:style w:type="paragraph" w:styleId="BodyText">
    <w:name w:val="Body Text"/>
    <w:basedOn w:val="Normal"/>
    <w:link w:val="BodyTextChar"/>
    <w:rsid w:val="00FE066F"/>
    <w:pPr>
      <w:spacing w:after="0" w:line="240" w:lineRule="auto"/>
      <w:jc w:val="both"/>
    </w:pPr>
    <w:rPr>
      <w:rFonts w:ascii="Times New Roman" w:eastAsia="Times New Roman" w:hAnsi="Times New Roman" w:cs="Times New Roman"/>
      <w:b/>
      <w:smallCaps/>
      <w:sz w:val="24"/>
      <w:szCs w:val="20"/>
      <w:lang w:eastAsia="fr-FR"/>
    </w:rPr>
  </w:style>
  <w:style w:type="character" w:customStyle="1" w:styleId="BodyTextChar">
    <w:name w:val="Body Text Char"/>
    <w:basedOn w:val="DefaultParagraphFont"/>
    <w:link w:val="BodyText"/>
    <w:rsid w:val="00FE066F"/>
    <w:rPr>
      <w:rFonts w:ascii="Times New Roman" w:eastAsia="Times New Roman" w:hAnsi="Times New Roman" w:cs="Times New Roman"/>
      <w:b/>
      <w:smallCaps/>
      <w:sz w:val="24"/>
      <w:szCs w:val="20"/>
      <w:lang w:eastAsia="fr-FR"/>
    </w:rPr>
  </w:style>
  <w:style w:type="character" w:customStyle="1" w:styleId="Heading2Char">
    <w:name w:val="Heading 2 Char"/>
    <w:basedOn w:val="DefaultParagraphFont"/>
    <w:link w:val="Heading2"/>
    <w:uiPriority w:val="9"/>
    <w:semiHidden/>
    <w:rsid w:val="008743A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743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743AF"/>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8743A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um">
    <w:name w:val="num"/>
    <w:basedOn w:val="DefaultParagraphFont"/>
    <w:rsid w:val="008743AF"/>
  </w:style>
  <w:style w:type="character" w:customStyle="1" w:styleId="apple-converted-space">
    <w:name w:val="apple-converted-space"/>
    <w:basedOn w:val="DefaultParagraphFont"/>
    <w:rsid w:val="008743AF"/>
  </w:style>
  <w:style w:type="paragraph" w:customStyle="1" w:styleId="ftu-footnote">
    <w:name w:val="ftu-footnote"/>
    <w:basedOn w:val="Normal"/>
    <w:rsid w:val="008743A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BalloonText">
    <w:name w:val="Balloon Text"/>
    <w:basedOn w:val="Normal"/>
    <w:link w:val="BalloonTextChar"/>
    <w:uiPriority w:val="99"/>
    <w:semiHidden/>
    <w:unhideWhenUsed/>
    <w:rsid w:val="00DF7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7C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743A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743A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743A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FE066F"/>
    <w:pPr>
      <w:keepNext/>
      <w:numPr>
        <w:ilvl w:val="1"/>
        <w:numId w:val="6"/>
      </w:numPr>
      <w:spacing w:after="0" w:line="360" w:lineRule="exact"/>
      <w:outlineLvl w:val="4"/>
    </w:pPr>
    <w:rPr>
      <w:rFonts w:ascii="Times New Roman" w:eastAsia="Times New Roman" w:hAnsi="Times New Roman" w:cs="Times New Roman"/>
      <w:b/>
      <w:sz w:val="24"/>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156"/>
    <w:pPr>
      <w:ind w:left="720"/>
      <w:contextualSpacing/>
    </w:pPr>
  </w:style>
  <w:style w:type="character" w:styleId="Hyperlink">
    <w:name w:val="Hyperlink"/>
    <w:basedOn w:val="DefaultParagraphFont"/>
    <w:uiPriority w:val="99"/>
    <w:unhideWhenUsed/>
    <w:rsid w:val="009D023A"/>
    <w:rPr>
      <w:color w:val="0000FF" w:themeColor="hyperlink"/>
      <w:u w:val="single"/>
    </w:rPr>
  </w:style>
  <w:style w:type="paragraph" w:styleId="Header">
    <w:name w:val="header"/>
    <w:basedOn w:val="Normal"/>
    <w:link w:val="HeaderChar"/>
    <w:uiPriority w:val="99"/>
    <w:unhideWhenUsed/>
    <w:rsid w:val="00F260D5"/>
    <w:pPr>
      <w:tabs>
        <w:tab w:val="center" w:pos="4536"/>
        <w:tab w:val="right" w:pos="9072"/>
      </w:tabs>
      <w:spacing w:after="0" w:line="240" w:lineRule="auto"/>
    </w:pPr>
  </w:style>
  <w:style w:type="character" w:customStyle="1" w:styleId="HeaderChar">
    <w:name w:val="En-tête Car"/>
    <w:basedOn w:val="DefaultParagraphFont"/>
    <w:link w:val="Header"/>
    <w:uiPriority w:val="99"/>
    <w:rsid w:val="00F260D5"/>
  </w:style>
  <w:style w:type="paragraph" w:styleId="Footer">
    <w:name w:val="footer"/>
    <w:basedOn w:val="Normal"/>
    <w:link w:val="FooterChar"/>
    <w:uiPriority w:val="99"/>
    <w:unhideWhenUsed/>
    <w:rsid w:val="00F260D5"/>
    <w:pPr>
      <w:tabs>
        <w:tab w:val="center" w:pos="4536"/>
        <w:tab w:val="right" w:pos="9072"/>
      </w:tabs>
      <w:spacing w:after="0" w:line="240" w:lineRule="auto"/>
    </w:pPr>
  </w:style>
  <w:style w:type="character" w:customStyle="1" w:styleId="FooterChar">
    <w:name w:val="Pied de page Car"/>
    <w:basedOn w:val="DefaultParagraphFont"/>
    <w:link w:val="Footer"/>
    <w:uiPriority w:val="99"/>
    <w:rsid w:val="00F260D5"/>
  </w:style>
  <w:style w:type="paragraph" w:styleId="List">
    <w:name w:val="List"/>
    <w:basedOn w:val="Normal"/>
    <w:uiPriority w:val="99"/>
    <w:unhideWhenUsed/>
    <w:rsid w:val="00F260D5"/>
    <w:pPr>
      <w:ind w:left="283" w:hanging="283"/>
      <w:contextualSpacing/>
    </w:pPr>
  </w:style>
  <w:style w:type="paragraph" w:customStyle="1" w:styleId="c01pointnumerotealtn">
    <w:name w:val="c01pointnumerotealtn"/>
    <w:basedOn w:val="Normal"/>
    <w:rsid w:val="00FF52AF"/>
    <w:pPr>
      <w:spacing w:before="100" w:beforeAutospacing="1" w:after="240" w:line="240" w:lineRule="auto"/>
      <w:ind w:left="567" w:hanging="539"/>
      <w:jc w:val="both"/>
    </w:pPr>
    <w:rPr>
      <w:rFonts w:ascii="Times New Roman" w:eastAsia="Times New Roman" w:hAnsi="Times New Roman" w:cs="Times New Roman"/>
      <w:sz w:val="24"/>
      <w:szCs w:val="24"/>
      <w:lang w:eastAsia="fr-FR"/>
    </w:rPr>
  </w:style>
  <w:style w:type="paragraph" w:customStyle="1" w:styleId="c02alineaalta">
    <w:name w:val="c02alineaalta"/>
    <w:basedOn w:val="Normal"/>
    <w:rsid w:val="00FF52AF"/>
    <w:pPr>
      <w:spacing w:after="240" w:line="240" w:lineRule="auto"/>
      <w:ind w:left="567"/>
      <w:jc w:val="both"/>
    </w:pPr>
    <w:rPr>
      <w:rFonts w:ascii="Times New Roman" w:eastAsia="Times New Roman" w:hAnsi="Times New Roman" w:cs="Times New Roman"/>
      <w:sz w:val="24"/>
      <w:szCs w:val="24"/>
      <w:lang w:eastAsia="fr-FR"/>
    </w:rPr>
  </w:style>
  <w:style w:type="paragraph" w:customStyle="1" w:styleId="c03tiretlong">
    <w:name w:val="c03tiretlong"/>
    <w:basedOn w:val="Normal"/>
    <w:rsid w:val="00FF52AF"/>
    <w:pPr>
      <w:spacing w:before="100" w:beforeAutospacing="1" w:after="240" w:line="240" w:lineRule="auto"/>
      <w:ind w:left="1134" w:hanging="567"/>
      <w:jc w:val="both"/>
    </w:pPr>
    <w:rPr>
      <w:rFonts w:ascii="Times New Roman" w:eastAsia="Times New Roman" w:hAnsi="Times New Roman" w:cs="Times New Roman"/>
      <w:sz w:val="24"/>
      <w:szCs w:val="24"/>
      <w:lang w:eastAsia="fr-FR"/>
    </w:rPr>
  </w:style>
  <w:style w:type="paragraph" w:customStyle="1" w:styleId="c04titre1">
    <w:name w:val="c04titre1"/>
    <w:basedOn w:val="Normal"/>
    <w:rsid w:val="00FF52AF"/>
    <w:pPr>
      <w:spacing w:before="480" w:after="240" w:line="240" w:lineRule="auto"/>
      <w:ind w:left="567"/>
      <w:jc w:val="both"/>
    </w:pPr>
    <w:rPr>
      <w:rFonts w:ascii="Times New Roman" w:eastAsia="Times New Roman" w:hAnsi="Times New Roman" w:cs="Times New Roman"/>
      <w:b/>
      <w:bCs/>
      <w:sz w:val="24"/>
      <w:szCs w:val="24"/>
      <w:lang w:eastAsia="fr-FR"/>
    </w:rPr>
  </w:style>
  <w:style w:type="paragraph" w:customStyle="1" w:styleId="c05titre2">
    <w:name w:val="c05titre2"/>
    <w:basedOn w:val="Normal"/>
    <w:rsid w:val="00FF52AF"/>
    <w:pPr>
      <w:spacing w:after="240" w:line="240" w:lineRule="auto"/>
      <w:ind w:left="567"/>
      <w:jc w:val="both"/>
    </w:pPr>
    <w:rPr>
      <w:rFonts w:ascii="Times New Roman" w:eastAsia="Times New Roman" w:hAnsi="Times New Roman" w:cs="Times New Roman"/>
      <w:i/>
      <w:iCs/>
      <w:sz w:val="24"/>
      <w:szCs w:val="24"/>
      <w:lang w:eastAsia="fr-FR"/>
    </w:rPr>
  </w:style>
  <w:style w:type="paragraph" w:customStyle="1" w:styleId="c06titre3">
    <w:name w:val="c06titre3"/>
    <w:basedOn w:val="Normal"/>
    <w:rsid w:val="00FF52AF"/>
    <w:pPr>
      <w:spacing w:after="240" w:line="240" w:lineRule="auto"/>
      <w:ind w:left="567"/>
      <w:jc w:val="both"/>
    </w:pPr>
    <w:rPr>
      <w:rFonts w:ascii="Times New Roman" w:eastAsia="Times New Roman" w:hAnsi="Times New Roman" w:cs="Times New Roman"/>
      <w:sz w:val="24"/>
      <w:szCs w:val="24"/>
      <w:lang w:eastAsia="fr-FR"/>
    </w:rPr>
  </w:style>
  <w:style w:type="paragraph" w:customStyle="1" w:styleId="c08dispositif">
    <w:name w:val="c08dispositif"/>
    <w:basedOn w:val="Normal"/>
    <w:rsid w:val="00FF52AF"/>
    <w:pPr>
      <w:spacing w:before="100" w:beforeAutospacing="1" w:after="240" w:line="240" w:lineRule="auto"/>
      <w:ind w:left="1134" w:hanging="567"/>
      <w:jc w:val="both"/>
    </w:pPr>
    <w:rPr>
      <w:rFonts w:ascii="Times New Roman" w:eastAsia="Times New Roman" w:hAnsi="Times New Roman" w:cs="Times New Roman"/>
      <w:b/>
      <w:bCs/>
      <w:sz w:val="24"/>
      <w:szCs w:val="24"/>
      <w:lang w:eastAsia="fr-FR"/>
    </w:rPr>
  </w:style>
  <w:style w:type="paragraph" w:customStyle="1" w:styleId="c19centre">
    <w:name w:val="c19centre"/>
    <w:basedOn w:val="Normal"/>
    <w:rsid w:val="00FF52AF"/>
    <w:pPr>
      <w:spacing w:after="240" w:line="240" w:lineRule="auto"/>
      <w:ind w:left="567"/>
      <w:jc w:val="center"/>
    </w:pPr>
    <w:rPr>
      <w:rFonts w:ascii="Times New Roman" w:eastAsia="Times New Roman" w:hAnsi="Times New Roman" w:cs="Times New Roman"/>
      <w:sz w:val="24"/>
      <w:szCs w:val="24"/>
      <w:lang w:eastAsia="fr-FR"/>
    </w:rPr>
  </w:style>
  <w:style w:type="paragraph" w:customStyle="1" w:styleId="c09marge0avecretrait">
    <w:name w:val="c09marge0avecretrait"/>
    <w:basedOn w:val="Normal"/>
    <w:rsid w:val="00FF52AF"/>
    <w:pPr>
      <w:spacing w:after="240" w:line="240" w:lineRule="auto"/>
      <w:ind w:left="1134" w:hanging="567"/>
      <w:jc w:val="both"/>
    </w:pPr>
    <w:rPr>
      <w:rFonts w:ascii="Times New Roman" w:eastAsia="Times New Roman" w:hAnsi="Times New Roman" w:cs="Times New Roman"/>
      <w:sz w:val="24"/>
      <w:szCs w:val="24"/>
      <w:lang w:eastAsia="fr-FR"/>
    </w:rPr>
  </w:style>
  <w:style w:type="paragraph" w:customStyle="1" w:styleId="c11marge1avecretrait">
    <w:name w:val="c11marge1avecretrait"/>
    <w:basedOn w:val="Normal"/>
    <w:rsid w:val="00FF52AF"/>
    <w:pPr>
      <w:spacing w:after="240" w:line="240" w:lineRule="auto"/>
      <w:ind w:left="1701" w:hanging="567"/>
      <w:jc w:val="both"/>
    </w:pPr>
    <w:rPr>
      <w:rFonts w:ascii="Times New Roman" w:eastAsia="Times New Roman" w:hAnsi="Times New Roman" w:cs="Times New Roman"/>
      <w:sz w:val="24"/>
      <w:szCs w:val="24"/>
      <w:lang w:eastAsia="fr-FR"/>
    </w:rPr>
  </w:style>
  <w:style w:type="paragraph" w:customStyle="1" w:styleId="c75debutdesmotifs">
    <w:name w:val="c75debutdesmotifs"/>
    <w:basedOn w:val="Normal"/>
    <w:rsid w:val="00FF52AF"/>
    <w:pPr>
      <w:spacing w:before="480" w:after="480" w:line="240" w:lineRule="auto"/>
      <w:ind w:left="567"/>
      <w:jc w:val="center"/>
    </w:pPr>
    <w:rPr>
      <w:rFonts w:ascii="Times New Roman" w:eastAsia="Times New Roman" w:hAnsi="Times New Roman" w:cs="Times New Roman"/>
      <w:b/>
      <w:bCs/>
      <w:sz w:val="24"/>
      <w:szCs w:val="24"/>
      <w:lang w:eastAsia="fr-FR"/>
    </w:rPr>
  </w:style>
  <w:style w:type="paragraph" w:customStyle="1" w:styleId="c77signatures">
    <w:name w:val="c77signatures"/>
    <w:basedOn w:val="Normal"/>
    <w:rsid w:val="00FF52AF"/>
    <w:pPr>
      <w:spacing w:after="1200" w:line="240" w:lineRule="auto"/>
      <w:ind w:left="567"/>
      <w:jc w:val="both"/>
    </w:pPr>
    <w:rPr>
      <w:rFonts w:ascii="Times New Roman" w:eastAsia="Times New Roman" w:hAnsi="Times New Roman" w:cs="Times New Roman"/>
      <w:sz w:val="24"/>
      <w:szCs w:val="24"/>
      <w:lang w:eastAsia="fr-FR"/>
    </w:rPr>
  </w:style>
  <w:style w:type="paragraph" w:customStyle="1" w:styleId="c71indicateur">
    <w:name w:val="c71indicateur"/>
    <w:basedOn w:val="Normal"/>
    <w:rsid w:val="00FF52AF"/>
    <w:pPr>
      <w:spacing w:before="600" w:after="560" w:line="240" w:lineRule="auto"/>
      <w:ind w:left="567"/>
      <w:jc w:val="center"/>
    </w:pPr>
    <w:rPr>
      <w:rFonts w:ascii="Times New Roman" w:eastAsia="Times New Roman" w:hAnsi="Times New Roman" w:cs="Times New Roman"/>
      <w:sz w:val="24"/>
      <w:szCs w:val="24"/>
      <w:lang w:eastAsia="fr-FR"/>
    </w:rPr>
  </w:style>
  <w:style w:type="paragraph" w:customStyle="1" w:styleId="c41dispositifintroduction">
    <w:name w:val="c41dispositifintroduction"/>
    <w:basedOn w:val="Normal"/>
    <w:rsid w:val="00FF52A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34dispositifmarge1avectiretlong">
    <w:name w:val="c34dispositifmarge1avectiretlong"/>
    <w:basedOn w:val="Normal"/>
    <w:rsid w:val="00FF52A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32dispositifmarge1">
    <w:name w:val="c32dispositifmarge1"/>
    <w:basedOn w:val="Normal"/>
    <w:rsid w:val="00FF52A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30dispositifalinea">
    <w:name w:val="c30dispositifalinea"/>
    <w:basedOn w:val="Normal"/>
    <w:rsid w:val="003166E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FootnoteText">
    <w:name w:val="footnote text"/>
    <w:basedOn w:val="Normal"/>
    <w:link w:val="FootnoteTextChar"/>
    <w:semiHidden/>
    <w:rsid w:val="007765A0"/>
    <w:pPr>
      <w:spacing w:after="0" w:line="240" w:lineRule="auto"/>
    </w:pPr>
    <w:rPr>
      <w:rFonts w:ascii="Times New Roman" w:eastAsia="Times New Roman" w:hAnsi="Times New Roman" w:cs="Times New Roman"/>
      <w:sz w:val="20"/>
      <w:szCs w:val="20"/>
      <w:lang w:eastAsia="fr-FR"/>
    </w:rPr>
  </w:style>
  <w:style w:type="character" w:customStyle="1" w:styleId="FootnoteTextChar">
    <w:name w:val="Note de bas de page Car"/>
    <w:basedOn w:val="DefaultParagraphFont"/>
    <w:link w:val="FootnoteText"/>
    <w:semiHidden/>
    <w:rsid w:val="007765A0"/>
    <w:rPr>
      <w:rFonts w:ascii="Times New Roman" w:eastAsia="Times New Roman" w:hAnsi="Times New Roman" w:cs="Times New Roman"/>
      <w:sz w:val="20"/>
      <w:szCs w:val="20"/>
      <w:lang w:eastAsia="fr-FR"/>
    </w:rPr>
  </w:style>
  <w:style w:type="character" w:styleId="FootnoteReference">
    <w:name w:val="footnote reference"/>
    <w:rsid w:val="007765A0"/>
    <w:rPr>
      <w:vertAlign w:val="superscript"/>
    </w:rPr>
  </w:style>
  <w:style w:type="character" w:styleId="Strong">
    <w:name w:val="Strong"/>
    <w:uiPriority w:val="22"/>
    <w:qFormat/>
    <w:rsid w:val="002A6908"/>
    <w:rPr>
      <w:b/>
      <w:bCs/>
    </w:rPr>
  </w:style>
  <w:style w:type="paragraph" w:customStyle="1" w:styleId="Default">
    <w:name w:val="Default"/>
    <w:rsid w:val="00935EB7"/>
    <w:pPr>
      <w:autoSpaceDE w:val="0"/>
      <w:autoSpaceDN w:val="0"/>
      <w:adjustRightInd w:val="0"/>
      <w:spacing w:after="0" w:line="240" w:lineRule="auto"/>
    </w:pPr>
    <w:rPr>
      <w:rFonts w:ascii="Wingdings" w:hAnsi="Wingdings" w:cs="Wingdings"/>
      <w:color w:val="000000"/>
      <w:sz w:val="24"/>
      <w:szCs w:val="24"/>
    </w:rPr>
  </w:style>
  <w:style w:type="character" w:customStyle="1" w:styleId="Heading5Char">
    <w:name w:val="Titre 5 Car"/>
    <w:basedOn w:val="DefaultParagraphFont"/>
    <w:link w:val="Heading5"/>
    <w:rsid w:val="00FE066F"/>
    <w:rPr>
      <w:rFonts w:ascii="Times New Roman" w:eastAsia="Times New Roman" w:hAnsi="Times New Roman" w:cs="Times New Roman"/>
      <w:b/>
      <w:sz w:val="24"/>
      <w:szCs w:val="24"/>
      <w:lang w:eastAsia="fr-FR"/>
    </w:rPr>
  </w:style>
  <w:style w:type="paragraph" w:styleId="BodyText">
    <w:name w:val="Body Text"/>
    <w:basedOn w:val="Normal"/>
    <w:link w:val="BodyTextChar"/>
    <w:rsid w:val="00FE066F"/>
    <w:pPr>
      <w:spacing w:after="0" w:line="240" w:lineRule="auto"/>
      <w:jc w:val="both"/>
    </w:pPr>
    <w:rPr>
      <w:rFonts w:ascii="Times New Roman" w:eastAsia="Times New Roman" w:hAnsi="Times New Roman" w:cs="Times New Roman"/>
      <w:b/>
      <w:smallCaps/>
      <w:sz w:val="24"/>
      <w:szCs w:val="20"/>
      <w:lang w:eastAsia="fr-FR"/>
    </w:rPr>
  </w:style>
  <w:style w:type="character" w:customStyle="1" w:styleId="BodyTextChar">
    <w:name w:val="Corps de texte Car"/>
    <w:basedOn w:val="DefaultParagraphFont"/>
    <w:link w:val="BodyText"/>
    <w:rsid w:val="00FE066F"/>
    <w:rPr>
      <w:rFonts w:ascii="Times New Roman" w:eastAsia="Times New Roman" w:hAnsi="Times New Roman" w:cs="Times New Roman"/>
      <w:b/>
      <w:smallCaps/>
      <w:sz w:val="24"/>
      <w:szCs w:val="20"/>
      <w:lang w:eastAsia="fr-FR"/>
    </w:rPr>
  </w:style>
  <w:style w:type="character" w:customStyle="1" w:styleId="Heading2Char">
    <w:name w:val="Titre 2 Car"/>
    <w:basedOn w:val="DefaultParagraphFont"/>
    <w:link w:val="Heading2"/>
    <w:uiPriority w:val="9"/>
    <w:semiHidden/>
    <w:rsid w:val="008743AF"/>
    <w:rPr>
      <w:rFonts w:asciiTheme="majorHAnsi" w:eastAsiaTheme="majorEastAsia" w:hAnsiTheme="majorHAnsi" w:cstheme="majorBidi"/>
      <w:b/>
      <w:bCs/>
      <w:color w:val="4F81BD" w:themeColor="accent1"/>
      <w:sz w:val="26"/>
      <w:szCs w:val="26"/>
    </w:rPr>
  </w:style>
  <w:style w:type="character" w:customStyle="1" w:styleId="Heading3Char">
    <w:name w:val="Titre 3 Car"/>
    <w:basedOn w:val="DefaultParagraphFont"/>
    <w:link w:val="Heading3"/>
    <w:uiPriority w:val="9"/>
    <w:semiHidden/>
    <w:rsid w:val="008743AF"/>
    <w:rPr>
      <w:rFonts w:asciiTheme="majorHAnsi" w:eastAsiaTheme="majorEastAsia" w:hAnsiTheme="majorHAnsi" w:cstheme="majorBidi"/>
      <w:b/>
      <w:bCs/>
      <w:color w:val="4F81BD" w:themeColor="accent1"/>
    </w:rPr>
  </w:style>
  <w:style w:type="character" w:customStyle="1" w:styleId="Heading4Char">
    <w:name w:val="Titre 4 Car"/>
    <w:basedOn w:val="DefaultParagraphFont"/>
    <w:link w:val="Heading4"/>
    <w:uiPriority w:val="9"/>
    <w:semiHidden/>
    <w:rsid w:val="008743AF"/>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8743A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um">
    <w:name w:val="num"/>
    <w:basedOn w:val="DefaultParagraphFont"/>
    <w:rsid w:val="008743AF"/>
  </w:style>
  <w:style w:type="character" w:customStyle="1" w:styleId="apple-converted-space">
    <w:name w:val="apple-converted-space"/>
    <w:basedOn w:val="DefaultParagraphFont"/>
    <w:rsid w:val="008743AF"/>
  </w:style>
  <w:style w:type="paragraph" w:customStyle="1" w:styleId="ftu-footnote">
    <w:name w:val="ftu-footnote"/>
    <w:basedOn w:val="Normal"/>
    <w:rsid w:val="008743A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114467">
      <w:bodyDiv w:val="1"/>
      <w:marLeft w:val="0"/>
      <w:marRight w:val="0"/>
      <w:marTop w:val="0"/>
      <w:marBottom w:val="0"/>
      <w:divBdr>
        <w:top w:val="none" w:sz="0" w:space="0" w:color="auto"/>
        <w:left w:val="none" w:sz="0" w:space="0" w:color="auto"/>
        <w:bottom w:val="none" w:sz="0" w:space="0" w:color="auto"/>
        <w:right w:val="none" w:sz="0" w:space="0" w:color="auto"/>
      </w:divBdr>
    </w:div>
    <w:div w:id="1030227221">
      <w:bodyDiv w:val="1"/>
      <w:marLeft w:val="0"/>
      <w:marRight w:val="0"/>
      <w:marTop w:val="0"/>
      <w:marBottom w:val="0"/>
      <w:divBdr>
        <w:top w:val="none" w:sz="0" w:space="0" w:color="auto"/>
        <w:left w:val="none" w:sz="0" w:space="0" w:color="auto"/>
        <w:bottom w:val="none" w:sz="0" w:space="0" w:color="auto"/>
        <w:right w:val="none" w:sz="0" w:space="0" w:color="auto"/>
      </w:divBdr>
      <w:divsChild>
        <w:div w:id="784420311">
          <w:marLeft w:val="0"/>
          <w:marRight w:val="0"/>
          <w:marTop w:val="0"/>
          <w:marBottom w:val="0"/>
          <w:divBdr>
            <w:top w:val="none" w:sz="0" w:space="0" w:color="auto"/>
            <w:left w:val="none" w:sz="0" w:space="0" w:color="auto"/>
            <w:bottom w:val="none" w:sz="0" w:space="0" w:color="auto"/>
            <w:right w:val="none" w:sz="0" w:space="0" w:color="auto"/>
          </w:divBdr>
          <w:divsChild>
            <w:div w:id="1536579214">
              <w:marLeft w:val="0"/>
              <w:marRight w:val="0"/>
              <w:marTop w:val="0"/>
              <w:marBottom w:val="0"/>
              <w:divBdr>
                <w:top w:val="none" w:sz="0" w:space="0" w:color="auto"/>
                <w:left w:val="none" w:sz="0" w:space="0" w:color="auto"/>
                <w:bottom w:val="none" w:sz="0" w:space="0" w:color="auto"/>
                <w:right w:val="none" w:sz="0" w:space="0" w:color="auto"/>
              </w:divBdr>
              <w:divsChild>
                <w:div w:id="116534678">
                  <w:marLeft w:val="0"/>
                  <w:marRight w:val="0"/>
                  <w:marTop w:val="0"/>
                  <w:marBottom w:val="0"/>
                  <w:divBdr>
                    <w:top w:val="none" w:sz="0" w:space="0" w:color="auto"/>
                    <w:left w:val="single" w:sz="6" w:space="0" w:color="FFFFFF"/>
                    <w:bottom w:val="none" w:sz="0" w:space="0" w:color="auto"/>
                    <w:right w:val="single" w:sz="6" w:space="0" w:color="FFFFFF"/>
                  </w:divBdr>
                  <w:divsChild>
                    <w:div w:id="1384060606">
                      <w:marLeft w:val="0"/>
                      <w:marRight w:val="0"/>
                      <w:marTop w:val="0"/>
                      <w:marBottom w:val="0"/>
                      <w:divBdr>
                        <w:top w:val="none" w:sz="0" w:space="0" w:color="auto"/>
                        <w:left w:val="single" w:sz="6" w:space="0" w:color="DCE1E4"/>
                        <w:bottom w:val="none" w:sz="0" w:space="0" w:color="auto"/>
                        <w:right w:val="single" w:sz="6" w:space="0" w:color="DCE1E4"/>
                      </w:divBdr>
                      <w:divsChild>
                        <w:div w:id="1726685015">
                          <w:marLeft w:val="0"/>
                          <w:marRight w:val="0"/>
                          <w:marTop w:val="0"/>
                          <w:marBottom w:val="0"/>
                          <w:divBdr>
                            <w:top w:val="none" w:sz="0" w:space="0" w:color="auto"/>
                            <w:left w:val="none" w:sz="0" w:space="0" w:color="auto"/>
                            <w:bottom w:val="none" w:sz="0" w:space="0" w:color="auto"/>
                            <w:right w:val="none" w:sz="0" w:space="0" w:color="auto"/>
                          </w:divBdr>
                          <w:divsChild>
                            <w:div w:id="625744383">
                              <w:marLeft w:val="0"/>
                              <w:marRight w:val="0"/>
                              <w:marTop w:val="195"/>
                              <w:marBottom w:val="180"/>
                              <w:divBdr>
                                <w:top w:val="none" w:sz="0" w:space="0" w:color="auto"/>
                                <w:left w:val="none" w:sz="0" w:space="0" w:color="auto"/>
                                <w:bottom w:val="none" w:sz="0" w:space="0" w:color="auto"/>
                                <w:right w:val="none" w:sz="0" w:space="0" w:color="auto"/>
                              </w:divBdr>
                              <w:divsChild>
                                <w:div w:id="78835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508544">
      <w:bodyDiv w:val="1"/>
      <w:marLeft w:val="0"/>
      <w:marRight w:val="0"/>
      <w:marTop w:val="0"/>
      <w:marBottom w:val="0"/>
      <w:divBdr>
        <w:top w:val="none" w:sz="0" w:space="0" w:color="auto"/>
        <w:left w:val="none" w:sz="0" w:space="0" w:color="auto"/>
        <w:bottom w:val="none" w:sz="0" w:space="0" w:color="auto"/>
        <w:right w:val="none" w:sz="0" w:space="0" w:color="auto"/>
      </w:divBdr>
    </w:div>
    <w:div w:id="1540509622">
      <w:bodyDiv w:val="1"/>
      <w:marLeft w:val="0"/>
      <w:marRight w:val="0"/>
      <w:marTop w:val="0"/>
      <w:marBottom w:val="0"/>
      <w:divBdr>
        <w:top w:val="none" w:sz="0" w:space="0" w:color="auto"/>
        <w:left w:val="none" w:sz="0" w:space="0" w:color="auto"/>
        <w:bottom w:val="none" w:sz="0" w:space="0" w:color="auto"/>
        <w:right w:val="none" w:sz="0" w:space="0" w:color="auto"/>
      </w:divBdr>
    </w:div>
    <w:div w:id="1980449674">
      <w:bodyDiv w:val="1"/>
      <w:marLeft w:val="0"/>
      <w:marRight w:val="0"/>
      <w:marTop w:val="0"/>
      <w:marBottom w:val="0"/>
      <w:divBdr>
        <w:top w:val="none" w:sz="0" w:space="0" w:color="auto"/>
        <w:left w:val="none" w:sz="0" w:space="0" w:color="auto"/>
        <w:bottom w:val="none" w:sz="0" w:space="0" w:color="auto"/>
        <w:right w:val="none" w:sz="0" w:space="0" w:color="auto"/>
      </w:divBdr>
      <w:divsChild>
        <w:div w:id="2090031540">
          <w:marLeft w:val="0"/>
          <w:marRight w:val="0"/>
          <w:marTop w:val="0"/>
          <w:marBottom w:val="0"/>
          <w:divBdr>
            <w:top w:val="none" w:sz="0" w:space="0" w:color="auto"/>
            <w:left w:val="none" w:sz="0" w:space="0" w:color="auto"/>
            <w:bottom w:val="none" w:sz="0" w:space="0" w:color="auto"/>
            <w:right w:val="none" w:sz="0" w:space="0" w:color="auto"/>
          </w:divBdr>
          <w:divsChild>
            <w:div w:id="1967200374">
              <w:marLeft w:val="0"/>
              <w:marRight w:val="0"/>
              <w:marTop w:val="0"/>
              <w:marBottom w:val="0"/>
              <w:divBdr>
                <w:top w:val="none" w:sz="0" w:space="0" w:color="auto"/>
                <w:left w:val="none" w:sz="0" w:space="0" w:color="auto"/>
                <w:bottom w:val="none" w:sz="0" w:space="0" w:color="auto"/>
                <w:right w:val="none" w:sz="0" w:space="0" w:color="auto"/>
              </w:divBdr>
              <w:divsChild>
                <w:div w:id="66076880">
                  <w:marLeft w:val="0"/>
                  <w:marRight w:val="0"/>
                  <w:marTop w:val="0"/>
                  <w:marBottom w:val="0"/>
                  <w:divBdr>
                    <w:top w:val="none" w:sz="0" w:space="0" w:color="auto"/>
                    <w:left w:val="single" w:sz="6" w:space="0" w:color="FFFFFF"/>
                    <w:bottom w:val="none" w:sz="0" w:space="0" w:color="auto"/>
                    <w:right w:val="single" w:sz="6" w:space="0" w:color="FFFFFF"/>
                  </w:divBdr>
                  <w:divsChild>
                    <w:div w:id="2036077806">
                      <w:marLeft w:val="0"/>
                      <w:marRight w:val="0"/>
                      <w:marTop w:val="0"/>
                      <w:marBottom w:val="0"/>
                      <w:divBdr>
                        <w:top w:val="none" w:sz="0" w:space="0" w:color="auto"/>
                        <w:left w:val="single" w:sz="6" w:space="0" w:color="DCE1E4"/>
                        <w:bottom w:val="none" w:sz="0" w:space="0" w:color="auto"/>
                        <w:right w:val="single" w:sz="6" w:space="0" w:color="DCE1E4"/>
                      </w:divBdr>
                      <w:divsChild>
                        <w:div w:id="1807893902">
                          <w:marLeft w:val="0"/>
                          <w:marRight w:val="0"/>
                          <w:marTop w:val="0"/>
                          <w:marBottom w:val="0"/>
                          <w:divBdr>
                            <w:top w:val="none" w:sz="0" w:space="0" w:color="auto"/>
                            <w:left w:val="none" w:sz="0" w:space="0" w:color="auto"/>
                            <w:bottom w:val="none" w:sz="0" w:space="0" w:color="auto"/>
                            <w:right w:val="none" w:sz="0" w:space="0" w:color="auto"/>
                          </w:divBdr>
                          <w:divsChild>
                            <w:div w:id="808716858">
                              <w:marLeft w:val="0"/>
                              <w:marRight w:val="0"/>
                              <w:marTop w:val="195"/>
                              <w:marBottom w:val="180"/>
                              <w:divBdr>
                                <w:top w:val="none" w:sz="0" w:space="0" w:color="auto"/>
                                <w:left w:val="none" w:sz="0" w:space="0" w:color="auto"/>
                                <w:bottom w:val="none" w:sz="0" w:space="0" w:color="auto"/>
                                <w:right w:val="none" w:sz="0" w:space="0" w:color="auto"/>
                              </w:divBdr>
                              <w:divsChild>
                                <w:div w:id="91370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602195">
      <w:bodyDiv w:val="1"/>
      <w:marLeft w:val="0"/>
      <w:marRight w:val="0"/>
      <w:marTop w:val="0"/>
      <w:marBottom w:val="0"/>
      <w:divBdr>
        <w:top w:val="none" w:sz="0" w:space="0" w:color="auto"/>
        <w:left w:val="none" w:sz="0" w:space="0" w:color="auto"/>
        <w:bottom w:val="none" w:sz="0" w:space="0" w:color="auto"/>
        <w:right w:val="none" w:sz="0" w:space="0" w:color="auto"/>
      </w:divBdr>
      <w:divsChild>
        <w:div w:id="1349284481">
          <w:marLeft w:val="0"/>
          <w:marRight w:val="0"/>
          <w:marTop w:val="0"/>
          <w:marBottom w:val="0"/>
          <w:divBdr>
            <w:top w:val="none" w:sz="0" w:space="0" w:color="auto"/>
            <w:left w:val="none" w:sz="0" w:space="0" w:color="auto"/>
            <w:bottom w:val="none" w:sz="0" w:space="0" w:color="auto"/>
            <w:right w:val="none" w:sz="0" w:space="0" w:color="auto"/>
          </w:divBdr>
          <w:divsChild>
            <w:div w:id="482550361">
              <w:marLeft w:val="0"/>
              <w:marRight w:val="0"/>
              <w:marTop w:val="0"/>
              <w:marBottom w:val="0"/>
              <w:divBdr>
                <w:top w:val="none" w:sz="0" w:space="0" w:color="auto"/>
                <w:left w:val="none" w:sz="0" w:space="0" w:color="auto"/>
                <w:bottom w:val="none" w:sz="0" w:space="0" w:color="auto"/>
                <w:right w:val="none" w:sz="0" w:space="0" w:color="auto"/>
              </w:divBdr>
              <w:divsChild>
                <w:div w:id="557667992">
                  <w:marLeft w:val="0"/>
                  <w:marRight w:val="0"/>
                  <w:marTop w:val="0"/>
                  <w:marBottom w:val="0"/>
                  <w:divBdr>
                    <w:top w:val="none" w:sz="0" w:space="0" w:color="auto"/>
                    <w:left w:val="single" w:sz="6" w:space="0" w:color="FFFFFF"/>
                    <w:bottom w:val="none" w:sz="0" w:space="0" w:color="auto"/>
                    <w:right w:val="single" w:sz="6" w:space="0" w:color="FFFFFF"/>
                  </w:divBdr>
                  <w:divsChild>
                    <w:div w:id="1329362726">
                      <w:marLeft w:val="0"/>
                      <w:marRight w:val="0"/>
                      <w:marTop w:val="0"/>
                      <w:marBottom w:val="0"/>
                      <w:divBdr>
                        <w:top w:val="none" w:sz="0" w:space="0" w:color="auto"/>
                        <w:left w:val="single" w:sz="6" w:space="0" w:color="DCE1E4"/>
                        <w:bottom w:val="none" w:sz="0" w:space="0" w:color="auto"/>
                        <w:right w:val="single" w:sz="6" w:space="0" w:color="DCE1E4"/>
                      </w:divBdr>
                      <w:divsChild>
                        <w:div w:id="906843758">
                          <w:marLeft w:val="0"/>
                          <w:marRight w:val="0"/>
                          <w:marTop w:val="0"/>
                          <w:marBottom w:val="0"/>
                          <w:divBdr>
                            <w:top w:val="none" w:sz="0" w:space="0" w:color="auto"/>
                            <w:left w:val="none" w:sz="0" w:space="0" w:color="auto"/>
                            <w:bottom w:val="none" w:sz="0" w:space="0" w:color="auto"/>
                            <w:right w:val="none" w:sz="0" w:space="0" w:color="auto"/>
                          </w:divBdr>
                          <w:divsChild>
                            <w:div w:id="979961341">
                              <w:marLeft w:val="0"/>
                              <w:marRight w:val="0"/>
                              <w:marTop w:val="195"/>
                              <w:marBottom w:val="180"/>
                              <w:divBdr>
                                <w:top w:val="none" w:sz="0" w:space="0" w:color="auto"/>
                                <w:left w:val="none" w:sz="0" w:space="0" w:color="auto"/>
                                <w:bottom w:val="none" w:sz="0" w:space="0" w:color="auto"/>
                                <w:right w:val="none" w:sz="0" w:space="0" w:color="auto"/>
                              </w:divBdr>
                              <w:divsChild>
                                <w:div w:id="39605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parl.europa.eu/aboutparliament/bg/displayFtu.html?ftuId=FTU_5.12.2.html" TargetMode="External"/><Relationship Id="rId13" Type="http://schemas.openxmlformats.org/officeDocument/2006/relationships/hyperlink" Target="http://www.europarl.europa.eu/aboutparliament/bg/displayFtu.html?ftuId=FTU_5.12.2.html" TargetMode="External"/><Relationship Id="rId18" Type="http://schemas.openxmlformats.org/officeDocument/2006/relationships/hyperlink" Target="http://www.europarl.europa.eu/aboutparliament/bg/displayFtu.html?ftuId=FTU_5.12.2.html"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europarl.europa.eu/aboutparliament/bg/displayFtu.html?ftuId=FTU_5.12.7.html" TargetMode="External"/><Relationship Id="rId17" Type="http://schemas.openxmlformats.org/officeDocument/2006/relationships/hyperlink" Target="http://www.europarl.europa.eu/aboutparliament/bg/displayFtu.html?ftuId=FTU_2.1.3.html" TargetMode="External"/><Relationship Id="rId2" Type="http://schemas.openxmlformats.org/officeDocument/2006/relationships/styles" Target="styles.xml"/><Relationship Id="rId16" Type="http://schemas.openxmlformats.org/officeDocument/2006/relationships/hyperlink" Target="http://ec.europa.eu/ewsi/en/" TargetMode="External"/><Relationship Id="rId20" Type="http://schemas.openxmlformats.org/officeDocument/2006/relationships/hyperlink" Target="http://www.europarl.europa.eu/aboutparliament/bg/displayFtu.html?ftuId=FTU_5.12.1.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parl.europa.eu/aboutparliament/bg/displayFtu.html?ftuId=FTU_5.12.6.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uroparl.europa.eu/aboutparliament/bg/displayFtu.html?ftuId=FTU_1.1.5.html" TargetMode="External"/><Relationship Id="rId23" Type="http://schemas.openxmlformats.org/officeDocument/2006/relationships/fontTable" Target="fontTable.xml"/><Relationship Id="rId10" Type="http://schemas.openxmlformats.org/officeDocument/2006/relationships/hyperlink" Target="http://www.europarl.europa.eu/aboutparliament/bg/displayFtu.html?ftuId=FTU_5.12.4.html" TargetMode="External"/><Relationship Id="rId19" Type="http://schemas.openxmlformats.org/officeDocument/2006/relationships/hyperlink" Target="http://www.europarl.europa.eu/aboutparliament/bg/displayFtu.html?ftuId=FTU_5.12.7.html" TargetMode="External"/><Relationship Id="rId4" Type="http://schemas.openxmlformats.org/officeDocument/2006/relationships/settings" Target="settings.xml"/><Relationship Id="rId9" Type="http://schemas.openxmlformats.org/officeDocument/2006/relationships/hyperlink" Target="http://www.europarl.europa.eu/aboutparliament/bg/displayFtu.html?ftuId=FTU_5.12.3.html" TargetMode="External"/><Relationship Id="rId14" Type="http://schemas.openxmlformats.org/officeDocument/2006/relationships/hyperlink" Target="http://www.europarl.europa.eu/aboutparliament/bg/displayFtu.html?ftuId=FTU_5.12.2.htm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20</Pages>
  <Words>8451</Words>
  <Characters>48173</Characters>
  <Application>Microsoft Office Word</Application>
  <DocSecurity>0</DocSecurity>
  <Lines>401</Lines>
  <Paragraphs>113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boev5</dc:creator>
  <cp:lastModifiedBy>User</cp:lastModifiedBy>
  <cp:revision>6</cp:revision>
  <dcterms:created xsi:type="dcterms:W3CDTF">2014-06-27T22:30:00Z</dcterms:created>
  <dcterms:modified xsi:type="dcterms:W3CDTF">2014-07-01T16:15:00Z</dcterms:modified>
</cp:coreProperties>
</file>